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Iktatószám: VFO</w:t>
      </w:r>
      <w:r w:rsidRPr="00956A7D">
        <w:rPr>
          <w:rFonts w:ascii="Arial" w:hAnsi="Arial" w:cs="Arial"/>
          <w:sz w:val="24"/>
          <w:szCs w:val="24"/>
        </w:rPr>
        <w:t>/</w:t>
      </w:r>
      <w:r w:rsidR="008A0276">
        <w:rPr>
          <w:rFonts w:ascii="Arial" w:hAnsi="Arial" w:cs="Arial"/>
          <w:sz w:val="24"/>
          <w:szCs w:val="24"/>
        </w:rPr>
        <w:t>210-4</w:t>
      </w:r>
      <w:r>
        <w:rPr>
          <w:rFonts w:ascii="Arial" w:hAnsi="Arial" w:cs="Arial"/>
          <w:sz w:val="24"/>
          <w:szCs w:val="24"/>
        </w:rPr>
        <w:t>/201</w:t>
      </w:r>
      <w:r w:rsidR="003E207C">
        <w:rPr>
          <w:rFonts w:ascii="Arial" w:hAnsi="Arial" w:cs="Arial"/>
          <w:sz w:val="24"/>
          <w:szCs w:val="24"/>
        </w:rPr>
        <w:t>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 xml:space="preserve">2014. </w:t>
      </w:r>
      <w:r w:rsidR="009D19D7">
        <w:rPr>
          <w:rFonts w:ascii="Arial" w:hAnsi="Arial" w:cs="Arial"/>
          <w:b/>
          <w:sz w:val="24"/>
          <w:szCs w:val="24"/>
        </w:rPr>
        <w:t>március</w:t>
      </w:r>
      <w:r w:rsidR="003E207C">
        <w:rPr>
          <w:rFonts w:ascii="Arial" w:hAnsi="Arial" w:cs="Arial"/>
          <w:b/>
          <w:sz w:val="24"/>
          <w:szCs w:val="24"/>
        </w:rPr>
        <w:t xml:space="preserve"> 26-i</w:t>
      </w:r>
      <w:r>
        <w:rPr>
          <w:rFonts w:ascii="Arial" w:hAnsi="Arial" w:cs="Arial"/>
          <w:b/>
          <w:sz w:val="24"/>
          <w:szCs w:val="24"/>
        </w:rPr>
        <w:t xml:space="preserve"> </w:t>
      </w:r>
      <w:r w:rsidR="003E207C">
        <w:rPr>
          <w:rFonts w:ascii="Arial" w:hAnsi="Arial" w:cs="Arial"/>
          <w:b/>
          <w:sz w:val="24"/>
          <w:szCs w:val="24"/>
        </w:rPr>
        <w:t>rendkívüli nyilvános</w:t>
      </w:r>
      <w:r>
        <w:rPr>
          <w:rFonts w:ascii="Arial" w:hAnsi="Arial" w:cs="Arial"/>
          <w:b/>
          <w:sz w:val="24"/>
          <w:szCs w:val="24"/>
        </w:rPr>
        <w:t xml:space="preserve">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r w:rsidRPr="002D4BC8">
        <w:rPr>
          <w:rFonts w:ascii="Arial" w:hAnsi="Arial" w:cs="Arial"/>
          <w:b/>
          <w:sz w:val="24"/>
          <w:szCs w:val="24"/>
        </w:rPr>
        <w:t xml:space="preserve">Tárgy: </w:t>
      </w:r>
      <w:r>
        <w:rPr>
          <w:rFonts w:ascii="Arial" w:hAnsi="Arial" w:cs="Arial"/>
          <w:b/>
          <w:sz w:val="24"/>
          <w:szCs w:val="24"/>
        </w:rPr>
        <w:t xml:space="preserve">  </w:t>
      </w:r>
      <w:r w:rsidR="00201002">
        <w:rPr>
          <w:rFonts w:ascii="Arial" w:hAnsi="Arial" w:cs="Arial"/>
          <w:b/>
          <w:sz w:val="24"/>
          <w:szCs w:val="24"/>
        </w:rPr>
        <w:tab/>
      </w:r>
      <w:r w:rsidR="00201002">
        <w:rPr>
          <w:rFonts w:ascii="Arial" w:hAnsi="Arial" w:cs="Arial"/>
          <w:b/>
          <w:sz w:val="24"/>
          <w:szCs w:val="24"/>
        </w:rPr>
        <w:tab/>
      </w:r>
      <w:r w:rsidR="003E207C" w:rsidRPr="000B3A05">
        <w:rPr>
          <w:rFonts w:ascii="Arial" w:hAnsi="Arial" w:cs="Arial"/>
          <w:sz w:val="24"/>
          <w:szCs w:val="24"/>
        </w:rPr>
        <w:t xml:space="preserve">Nagyparkolói újságos pavilon eladási </w:t>
      </w:r>
      <w:r w:rsidR="000D1C3C" w:rsidRPr="000B3A05">
        <w:rPr>
          <w:rFonts w:ascii="Arial" w:hAnsi="Arial" w:cs="Arial"/>
          <w:sz w:val="24"/>
          <w:szCs w:val="24"/>
        </w:rPr>
        <w:t>ajánlata</w:t>
      </w: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DF15FD" w:rsidRDefault="008E2138" w:rsidP="008E2138">
      <w:pPr>
        <w:spacing w:after="0" w:line="240" w:lineRule="auto"/>
        <w:jc w:val="both"/>
        <w:rPr>
          <w:rFonts w:ascii="Arial" w:hAnsi="Arial" w:cs="Arial"/>
          <w:sz w:val="24"/>
          <w:szCs w:val="24"/>
        </w:rPr>
      </w:pPr>
      <w:r w:rsidRPr="00DF15FD">
        <w:rPr>
          <w:rFonts w:ascii="Arial" w:hAnsi="Arial" w:cs="Arial"/>
          <w:b/>
          <w:sz w:val="24"/>
          <w:szCs w:val="24"/>
        </w:rPr>
        <w:t>Az előterjesztő:</w:t>
      </w:r>
      <w:r w:rsidRPr="00DF15FD">
        <w:rPr>
          <w:rFonts w:ascii="Arial" w:hAnsi="Arial" w:cs="Arial"/>
          <w:sz w:val="24"/>
          <w:szCs w:val="24"/>
        </w:rPr>
        <w:t xml:space="preserve"> </w:t>
      </w:r>
      <w:r w:rsidRPr="00DF15FD">
        <w:rPr>
          <w:rFonts w:ascii="Arial" w:hAnsi="Arial" w:cs="Arial"/>
          <w:sz w:val="24"/>
          <w:szCs w:val="24"/>
        </w:rPr>
        <w:tab/>
      </w:r>
      <w:smartTag w:uri="urn:schemas-microsoft-com:office:smarttags" w:element="PersonName">
        <w:r w:rsidRPr="00DF15FD">
          <w:rPr>
            <w:rFonts w:ascii="Arial" w:hAnsi="Arial" w:cs="Arial"/>
            <w:sz w:val="24"/>
            <w:szCs w:val="24"/>
          </w:rPr>
          <w:t>Papp Gábor</w:t>
        </w:r>
      </w:smartTag>
      <w:r w:rsidRPr="00DF15FD">
        <w:rPr>
          <w:rFonts w:ascii="Arial" w:hAnsi="Arial" w:cs="Arial"/>
          <w:sz w:val="24"/>
          <w:szCs w:val="24"/>
        </w:rPr>
        <w:t xml:space="preserve"> polgármester</w:t>
      </w:r>
    </w:p>
    <w:p w:rsidR="008E2138" w:rsidRPr="00DF15FD" w:rsidRDefault="008E2138" w:rsidP="008E2138">
      <w:pPr>
        <w:spacing w:after="0" w:line="240" w:lineRule="auto"/>
        <w:jc w:val="both"/>
        <w:rPr>
          <w:rFonts w:ascii="Arial" w:hAnsi="Arial" w:cs="Arial"/>
          <w:sz w:val="24"/>
          <w:szCs w:val="24"/>
        </w:rPr>
      </w:pPr>
    </w:p>
    <w:p w:rsidR="008E2138" w:rsidRPr="00DF15FD" w:rsidRDefault="008E2138" w:rsidP="008E2138">
      <w:pPr>
        <w:spacing w:after="0" w:line="240" w:lineRule="auto"/>
        <w:jc w:val="both"/>
        <w:rPr>
          <w:rFonts w:ascii="Arial" w:hAnsi="Arial" w:cs="Arial"/>
          <w:sz w:val="24"/>
          <w:szCs w:val="24"/>
        </w:rPr>
      </w:pP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r w:rsidRPr="00DF15FD">
        <w:rPr>
          <w:rFonts w:ascii="Arial" w:hAnsi="Arial" w:cs="Arial"/>
          <w:b/>
          <w:sz w:val="24"/>
          <w:szCs w:val="24"/>
        </w:rPr>
        <w:t xml:space="preserve">Készítette: </w:t>
      </w:r>
      <w:r w:rsidRPr="00DF15FD">
        <w:rPr>
          <w:rFonts w:ascii="Arial" w:hAnsi="Arial" w:cs="Arial"/>
          <w:sz w:val="24"/>
          <w:szCs w:val="24"/>
        </w:rPr>
        <w:t xml:space="preserve"> </w:t>
      </w:r>
      <w:r w:rsidRPr="00DF15FD">
        <w:rPr>
          <w:rFonts w:ascii="Arial" w:hAnsi="Arial" w:cs="Arial"/>
          <w:sz w:val="24"/>
          <w:szCs w:val="24"/>
        </w:rPr>
        <w:tab/>
      </w:r>
      <w:r w:rsidR="00E35C1F" w:rsidRPr="00DF15FD">
        <w:rPr>
          <w:rFonts w:ascii="Arial" w:hAnsi="Arial" w:cs="Arial"/>
          <w:sz w:val="24"/>
          <w:szCs w:val="24"/>
        </w:rPr>
        <w:t>Babics Tamás osztályvezető</w:t>
      </w: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r w:rsidRPr="00DF15FD">
        <w:rPr>
          <w:rFonts w:ascii="Arial" w:hAnsi="Arial" w:cs="Arial"/>
          <w:sz w:val="24"/>
          <w:szCs w:val="24"/>
        </w:rPr>
        <w:tab/>
      </w:r>
    </w:p>
    <w:p w:rsidR="008E2138" w:rsidRPr="00DF15FD" w:rsidRDefault="008E2138" w:rsidP="00937743">
      <w:pPr>
        <w:autoSpaceDE w:val="0"/>
        <w:autoSpaceDN w:val="0"/>
        <w:adjustRightInd w:val="0"/>
        <w:spacing w:after="0" w:line="240" w:lineRule="auto"/>
        <w:jc w:val="both"/>
        <w:rPr>
          <w:rFonts w:ascii="Arial" w:hAnsi="Arial" w:cs="Arial"/>
          <w:sz w:val="24"/>
          <w:szCs w:val="24"/>
        </w:rPr>
      </w:pPr>
      <w:r w:rsidRPr="00DF15FD">
        <w:rPr>
          <w:rFonts w:ascii="Arial" w:hAnsi="Arial" w:cs="Arial"/>
          <w:b/>
          <w:sz w:val="24"/>
          <w:szCs w:val="24"/>
        </w:rPr>
        <w:t>Megtárgyalta:</w:t>
      </w:r>
      <w:r w:rsidRPr="00DF15FD">
        <w:rPr>
          <w:rFonts w:ascii="Arial" w:hAnsi="Arial" w:cs="Arial"/>
          <w:sz w:val="24"/>
          <w:szCs w:val="24"/>
        </w:rPr>
        <w:t xml:space="preserve"> </w:t>
      </w:r>
      <w:r w:rsidRPr="00DF15FD">
        <w:rPr>
          <w:rFonts w:ascii="Arial" w:hAnsi="Arial" w:cs="Arial"/>
          <w:sz w:val="24"/>
          <w:szCs w:val="24"/>
        </w:rPr>
        <w:tab/>
      </w:r>
      <w:r w:rsidR="00937743" w:rsidRPr="00DF15FD">
        <w:rPr>
          <w:rFonts w:ascii="Arial" w:hAnsi="Arial" w:cs="Arial"/>
          <w:sz w:val="24"/>
          <w:szCs w:val="24"/>
        </w:rPr>
        <w:t>Pénzügyi, Turisztikai és Városfejlesztési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DF15FD" w:rsidRDefault="008E2138" w:rsidP="008E2138">
      <w:pPr>
        <w:autoSpaceDE w:val="0"/>
        <w:autoSpaceDN w:val="0"/>
        <w:adjustRightInd w:val="0"/>
        <w:spacing w:after="0" w:line="240" w:lineRule="auto"/>
        <w:jc w:val="both"/>
        <w:rPr>
          <w:rFonts w:ascii="Arial" w:hAnsi="Arial" w:cs="Arial"/>
          <w:sz w:val="24"/>
          <w:szCs w:val="24"/>
        </w:rPr>
      </w:pPr>
      <w:r w:rsidRPr="00DF15FD">
        <w:rPr>
          <w:rFonts w:ascii="Arial" w:hAnsi="Arial" w:cs="Arial"/>
          <w:b/>
          <w:sz w:val="24"/>
          <w:szCs w:val="24"/>
        </w:rPr>
        <w:t xml:space="preserve">Törvényességi szempontból ellenőrizte: </w:t>
      </w:r>
      <w:r w:rsidRPr="00DF15FD">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3E207C" w:rsidRDefault="003E207C" w:rsidP="008E2138">
      <w:pPr>
        <w:spacing w:after="0" w:line="240" w:lineRule="auto"/>
        <w:jc w:val="both"/>
        <w:rPr>
          <w:rFonts w:ascii="Arial" w:hAnsi="Arial" w:cs="Arial"/>
          <w:sz w:val="24"/>
          <w:szCs w:val="24"/>
        </w:rPr>
      </w:pPr>
    </w:p>
    <w:p w:rsidR="003E207C" w:rsidRDefault="003E207C" w:rsidP="008E2138">
      <w:pPr>
        <w:spacing w:after="0" w:line="240" w:lineRule="auto"/>
        <w:jc w:val="both"/>
        <w:rPr>
          <w:rFonts w:ascii="Arial" w:hAnsi="Arial" w:cs="Arial"/>
          <w:sz w:val="24"/>
          <w:szCs w:val="24"/>
        </w:rPr>
      </w:pPr>
    </w:p>
    <w:p w:rsidR="003E207C" w:rsidRDefault="003E207C" w:rsidP="008E2138">
      <w:pPr>
        <w:spacing w:after="0" w:line="240" w:lineRule="auto"/>
        <w:jc w:val="both"/>
        <w:rPr>
          <w:rFonts w:ascii="Arial" w:hAnsi="Arial" w:cs="Arial"/>
          <w:sz w:val="24"/>
          <w:szCs w:val="24"/>
        </w:rPr>
      </w:pPr>
    </w:p>
    <w:p w:rsidR="008E2138" w:rsidRDefault="008E2138"/>
    <w:p w:rsidR="00C610AA" w:rsidRDefault="00C610AA"/>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0B3A05">
      <w:pPr>
        <w:spacing w:after="0" w:line="240" w:lineRule="auto"/>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Pr="000D1C3C" w:rsidRDefault="003E207C" w:rsidP="004133DB">
      <w:pPr>
        <w:jc w:val="both"/>
        <w:rPr>
          <w:rFonts w:ascii="Arial" w:hAnsi="Arial" w:cs="Arial"/>
        </w:rPr>
      </w:pPr>
      <w:proofErr w:type="spellStart"/>
      <w:r w:rsidRPr="000D1C3C">
        <w:rPr>
          <w:rFonts w:ascii="Arial" w:hAnsi="Arial" w:cs="Arial"/>
        </w:rPr>
        <w:t>Bézsenyi</w:t>
      </w:r>
      <w:proofErr w:type="spellEnd"/>
      <w:r w:rsidRPr="000D1C3C">
        <w:rPr>
          <w:rFonts w:ascii="Arial" w:hAnsi="Arial" w:cs="Arial"/>
        </w:rPr>
        <w:t xml:space="preserve"> Ferenc Hévíz, Csokonai utca 6. szám alatti lakos a Nagyparkolóban lévő újságos pavilonjának elad</w:t>
      </w:r>
      <w:r w:rsidR="000B3A05">
        <w:rPr>
          <w:rFonts w:ascii="Arial" w:hAnsi="Arial" w:cs="Arial"/>
        </w:rPr>
        <w:t>ási ajánlatával kereste meg az Ö</w:t>
      </w:r>
      <w:r w:rsidRPr="000D1C3C">
        <w:rPr>
          <w:rFonts w:ascii="Arial" w:hAnsi="Arial" w:cs="Arial"/>
        </w:rPr>
        <w:t>nkormányzatot.</w:t>
      </w:r>
    </w:p>
    <w:p w:rsidR="003E207C" w:rsidRPr="000D1C3C" w:rsidRDefault="000B3A05" w:rsidP="004133DB">
      <w:pPr>
        <w:jc w:val="both"/>
        <w:rPr>
          <w:rFonts w:ascii="Arial" w:hAnsi="Arial" w:cs="Arial"/>
        </w:rPr>
      </w:pPr>
      <w:r>
        <w:rPr>
          <w:rFonts w:ascii="Arial" w:hAnsi="Arial" w:cs="Arial"/>
        </w:rPr>
        <w:t xml:space="preserve">Az ügy előzményei az 1990-es évek elejére nyúlnak vissza, ezért az eljárás részleteire vonatkozó adatok nem teljesek. A </w:t>
      </w:r>
      <w:r w:rsidR="002C1A79" w:rsidRPr="000D1C3C">
        <w:rPr>
          <w:rFonts w:ascii="Arial" w:hAnsi="Arial" w:cs="Arial"/>
        </w:rPr>
        <w:t>pavilon önkormányza</w:t>
      </w:r>
      <w:r>
        <w:rPr>
          <w:rFonts w:ascii="Arial" w:hAnsi="Arial" w:cs="Arial"/>
        </w:rPr>
        <w:t>ti tulajdonú területen épül</w:t>
      </w:r>
      <w:r w:rsidR="002C1A79" w:rsidRPr="000D1C3C">
        <w:rPr>
          <w:rFonts w:ascii="Arial" w:hAnsi="Arial" w:cs="Arial"/>
        </w:rPr>
        <w:t>t meg, mely építmény elhelyezésére</w:t>
      </w:r>
      <w:r>
        <w:rPr>
          <w:rFonts w:ascii="Arial" w:hAnsi="Arial" w:cs="Arial"/>
        </w:rPr>
        <w:t xml:space="preserve"> a</w:t>
      </w:r>
      <w:r w:rsidR="002C1A79" w:rsidRPr="000D1C3C">
        <w:rPr>
          <w:rFonts w:ascii="Arial" w:hAnsi="Arial" w:cs="Arial"/>
        </w:rPr>
        <w:t xml:space="preserve"> kérelmező 1992-ben kapott építési engedélyt.</w:t>
      </w:r>
    </w:p>
    <w:p w:rsidR="004133DB" w:rsidRPr="000D1C3C" w:rsidRDefault="000B3A05" w:rsidP="004133DB">
      <w:pPr>
        <w:jc w:val="both"/>
        <w:rPr>
          <w:rFonts w:ascii="Arial" w:hAnsi="Arial" w:cs="Arial"/>
        </w:rPr>
      </w:pPr>
      <w:r>
        <w:rPr>
          <w:rFonts w:ascii="Arial" w:hAnsi="Arial" w:cs="Arial"/>
        </w:rPr>
        <w:t>Kérelmében e</w:t>
      </w:r>
      <w:r w:rsidR="002C1A79" w:rsidRPr="000D1C3C">
        <w:rPr>
          <w:rFonts w:ascii="Arial" w:hAnsi="Arial" w:cs="Arial"/>
        </w:rPr>
        <w:t>lőadta, hogy a faszerkezetű építményt azóta üzemeltet</w:t>
      </w:r>
      <w:r w:rsidR="004133DB" w:rsidRPr="000D1C3C">
        <w:rPr>
          <w:rFonts w:ascii="Arial" w:hAnsi="Arial" w:cs="Arial"/>
        </w:rPr>
        <w:t>i</w:t>
      </w:r>
      <w:r>
        <w:rPr>
          <w:rFonts w:ascii="Arial" w:hAnsi="Arial" w:cs="Arial"/>
        </w:rPr>
        <w:t>. A</w:t>
      </w:r>
      <w:r w:rsidR="002C1A79" w:rsidRPr="000D1C3C">
        <w:rPr>
          <w:rFonts w:ascii="Arial" w:hAnsi="Arial" w:cs="Arial"/>
        </w:rPr>
        <w:t xml:space="preserve"> terület igénybevételére éves</w:t>
      </w:r>
      <w:r>
        <w:rPr>
          <w:rFonts w:ascii="Arial" w:hAnsi="Arial" w:cs="Arial"/>
        </w:rPr>
        <w:t xml:space="preserve"> kivetésű közterület-használati díjat fizet, melynek mértéke </w:t>
      </w:r>
      <w:r w:rsidR="00480514" w:rsidRPr="000D1C3C">
        <w:rPr>
          <w:rFonts w:ascii="Arial" w:hAnsi="Arial" w:cs="Arial"/>
        </w:rPr>
        <w:t xml:space="preserve">2014-ben </w:t>
      </w:r>
      <w:r>
        <w:rPr>
          <w:rFonts w:ascii="Arial" w:hAnsi="Arial" w:cs="Arial"/>
        </w:rPr>
        <w:t>171.</w:t>
      </w:r>
      <w:r w:rsidR="00480514" w:rsidRPr="000D1C3C">
        <w:rPr>
          <w:rFonts w:ascii="Arial" w:hAnsi="Arial" w:cs="Arial"/>
        </w:rPr>
        <w:t>700.- Ft volt.</w:t>
      </w:r>
      <w:r w:rsidR="002F6341">
        <w:rPr>
          <w:rFonts w:ascii="Arial" w:hAnsi="Arial" w:cs="Arial"/>
        </w:rPr>
        <w:t xml:space="preserve"> </w:t>
      </w:r>
      <w:r w:rsidR="004133DB" w:rsidRPr="000D1C3C">
        <w:rPr>
          <w:rFonts w:ascii="Arial" w:hAnsi="Arial" w:cs="Arial"/>
        </w:rPr>
        <w:t>2015</w:t>
      </w:r>
      <w:r>
        <w:rPr>
          <w:rFonts w:ascii="Arial" w:hAnsi="Arial" w:cs="Arial"/>
        </w:rPr>
        <w:t>.</w:t>
      </w:r>
      <w:r w:rsidR="004133DB" w:rsidRPr="000D1C3C">
        <w:rPr>
          <w:rFonts w:ascii="Arial" w:hAnsi="Arial" w:cs="Arial"/>
        </w:rPr>
        <w:t xml:space="preserve"> évtől családi okok miatt a pavilon üzemeltetését nem kívánja folytatni.</w:t>
      </w:r>
    </w:p>
    <w:p w:rsidR="002F6341" w:rsidRDefault="004133DB" w:rsidP="004133DB">
      <w:pPr>
        <w:jc w:val="both"/>
        <w:rPr>
          <w:rFonts w:ascii="Arial" w:hAnsi="Arial" w:cs="Arial"/>
        </w:rPr>
      </w:pPr>
      <w:r w:rsidRPr="000D1C3C">
        <w:rPr>
          <w:rFonts w:ascii="Arial" w:hAnsi="Arial" w:cs="Arial"/>
        </w:rPr>
        <w:t>Az építményt ezért el kívánja adni</w:t>
      </w:r>
      <w:r w:rsidR="002F6341">
        <w:rPr>
          <w:rFonts w:ascii="Arial" w:hAnsi="Arial" w:cs="Arial"/>
        </w:rPr>
        <w:t>,</w:t>
      </w:r>
      <w:r w:rsidRPr="000D1C3C">
        <w:rPr>
          <w:rFonts w:ascii="Arial" w:hAnsi="Arial" w:cs="Arial"/>
        </w:rPr>
        <w:t xml:space="preserve"> és mint a terület tulajdonosát</w:t>
      </w:r>
      <w:r w:rsidR="00480514" w:rsidRPr="000D1C3C">
        <w:rPr>
          <w:rFonts w:ascii="Arial" w:hAnsi="Arial" w:cs="Arial"/>
        </w:rPr>
        <w:t xml:space="preserve"> először </w:t>
      </w:r>
      <w:r w:rsidR="002F6341">
        <w:rPr>
          <w:rFonts w:ascii="Arial" w:hAnsi="Arial" w:cs="Arial"/>
        </w:rPr>
        <w:t>Hévíz Város Önkormányzatát</w:t>
      </w:r>
      <w:r w:rsidR="00480514" w:rsidRPr="000D1C3C">
        <w:rPr>
          <w:rFonts w:ascii="Arial" w:hAnsi="Arial" w:cs="Arial"/>
        </w:rPr>
        <w:t xml:space="preserve"> kereste </w:t>
      </w:r>
      <w:r w:rsidR="002F6341">
        <w:rPr>
          <w:rFonts w:ascii="Arial" w:hAnsi="Arial" w:cs="Arial"/>
        </w:rPr>
        <w:t xml:space="preserve">meg </w:t>
      </w:r>
      <w:r w:rsidR="00953137" w:rsidRPr="000D1C3C">
        <w:rPr>
          <w:rFonts w:ascii="Arial" w:hAnsi="Arial" w:cs="Arial"/>
        </w:rPr>
        <w:t>ajánlatával</w:t>
      </w:r>
      <w:r w:rsidR="002A29B3" w:rsidRPr="000D1C3C">
        <w:rPr>
          <w:rFonts w:ascii="Arial" w:hAnsi="Arial" w:cs="Arial"/>
        </w:rPr>
        <w:t>. A f</w:t>
      </w:r>
      <w:r w:rsidR="002F6341">
        <w:rPr>
          <w:rFonts w:ascii="Arial" w:hAnsi="Arial" w:cs="Arial"/>
        </w:rPr>
        <w:t>aszerkezetű épület eladási árát</w:t>
      </w:r>
      <w:r w:rsidR="002A29B3" w:rsidRPr="000D1C3C">
        <w:rPr>
          <w:rFonts w:ascii="Arial" w:hAnsi="Arial" w:cs="Arial"/>
        </w:rPr>
        <w:t xml:space="preserve"> 1.500.000.-Ft-</w:t>
      </w:r>
      <w:r w:rsidR="002F6341">
        <w:rPr>
          <w:rFonts w:ascii="Arial" w:hAnsi="Arial" w:cs="Arial"/>
        </w:rPr>
        <w:t>ban határozta meg. Amennyiben</w:t>
      </w:r>
      <w:r w:rsidR="002A29B3" w:rsidRPr="000D1C3C">
        <w:rPr>
          <w:rFonts w:ascii="Arial" w:hAnsi="Arial" w:cs="Arial"/>
        </w:rPr>
        <w:t xml:space="preserve"> az Önkormányzat </w:t>
      </w:r>
      <w:r w:rsidR="00953137" w:rsidRPr="000D1C3C">
        <w:rPr>
          <w:rFonts w:ascii="Arial" w:hAnsi="Arial" w:cs="Arial"/>
        </w:rPr>
        <w:t xml:space="preserve">nem kívánja </w:t>
      </w:r>
      <w:r w:rsidR="002F6341">
        <w:rPr>
          <w:rFonts w:ascii="Arial" w:hAnsi="Arial" w:cs="Arial"/>
        </w:rPr>
        <w:t xml:space="preserve">az épületet </w:t>
      </w:r>
      <w:r w:rsidR="00953137" w:rsidRPr="000D1C3C">
        <w:rPr>
          <w:rFonts w:ascii="Arial" w:hAnsi="Arial" w:cs="Arial"/>
        </w:rPr>
        <w:t>megvenni, akkor harmadik sze</w:t>
      </w:r>
      <w:r w:rsidR="002F6341">
        <w:rPr>
          <w:rFonts w:ascii="Arial" w:hAnsi="Arial" w:cs="Arial"/>
        </w:rPr>
        <w:t>mélynek szeretné értékesíteni. Erre vonatkozóan, mint földterület tulajdonost,</w:t>
      </w:r>
      <w:r w:rsidR="00953137" w:rsidRPr="000D1C3C">
        <w:rPr>
          <w:rFonts w:ascii="Arial" w:hAnsi="Arial" w:cs="Arial"/>
        </w:rPr>
        <w:t xml:space="preserve"> kéri az önkormányzat hozzájárulását. </w:t>
      </w:r>
      <w:r w:rsidR="00576939" w:rsidRPr="000D1C3C">
        <w:rPr>
          <w:rFonts w:ascii="Arial" w:hAnsi="Arial" w:cs="Arial"/>
        </w:rPr>
        <w:t xml:space="preserve"> </w:t>
      </w:r>
    </w:p>
    <w:p w:rsidR="004133DB" w:rsidRPr="000D1C3C" w:rsidRDefault="002F6341" w:rsidP="002F6341">
      <w:pPr>
        <w:spacing w:after="0"/>
        <w:jc w:val="both"/>
        <w:rPr>
          <w:rFonts w:ascii="Arial" w:hAnsi="Arial" w:cs="Arial"/>
        </w:rPr>
      </w:pPr>
      <w:r>
        <w:rPr>
          <w:rFonts w:ascii="Arial" w:hAnsi="Arial" w:cs="Arial"/>
        </w:rPr>
        <w:t>Továbbá megkeresésében érdeklődik</w:t>
      </w:r>
      <w:r w:rsidR="005D5565" w:rsidRPr="000D1C3C">
        <w:rPr>
          <w:rFonts w:ascii="Arial" w:hAnsi="Arial" w:cs="Arial"/>
        </w:rPr>
        <w:t>, hogy a Nagyparkoló átépítése után a pavilon üzemeltetése tovább</w:t>
      </w:r>
      <w:r>
        <w:rPr>
          <w:rFonts w:ascii="Arial" w:hAnsi="Arial" w:cs="Arial"/>
        </w:rPr>
        <w:t>ra is biztosított-e az eredeti helyén</w:t>
      </w:r>
      <w:r w:rsidR="005D5565" w:rsidRPr="000D1C3C">
        <w:rPr>
          <w:rFonts w:ascii="Arial" w:hAnsi="Arial" w:cs="Arial"/>
        </w:rPr>
        <w:t>.</w:t>
      </w:r>
      <w:r w:rsidR="00576939" w:rsidRPr="000D1C3C">
        <w:rPr>
          <w:rFonts w:ascii="Arial" w:hAnsi="Arial" w:cs="Arial"/>
        </w:rPr>
        <w:t xml:space="preserve"> </w:t>
      </w:r>
    </w:p>
    <w:p w:rsidR="00201002" w:rsidRDefault="00201002" w:rsidP="002F6341">
      <w:pPr>
        <w:spacing w:after="0"/>
        <w:jc w:val="both"/>
        <w:rPr>
          <w:rFonts w:ascii="Arial" w:hAnsi="Arial" w:cs="Arial"/>
        </w:rPr>
      </w:pPr>
    </w:p>
    <w:p w:rsidR="002F6341" w:rsidRDefault="005D5565" w:rsidP="002F6341">
      <w:pPr>
        <w:spacing w:after="0"/>
        <w:jc w:val="both"/>
        <w:rPr>
          <w:rFonts w:ascii="Arial" w:hAnsi="Arial" w:cs="Arial"/>
        </w:rPr>
      </w:pPr>
      <w:r w:rsidRPr="000D1C3C">
        <w:rPr>
          <w:rFonts w:ascii="Arial" w:hAnsi="Arial" w:cs="Arial"/>
        </w:rPr>
        <w:t>A nagyparkoló tervezett átépítése, annak tervei a pavilont a jelenlegi helyén hagyják. Környezete annyit változik, hogy a Széchenyi utcai oldalon meg fog épü</w:t>
      </w:r>
      <w:r w:rsidR="008E5D9C" w:rsidRPr="000D1C3C">
        <w:rPr>
          <w:rFonts w:ascii="Arial" w:hAnsi="Arial" w:cs="Arial"/>
        </w:rPr>
        <w:t xml:space="preserve">lni egy járda, így a pavilon egy frekventáltabb megközelítést kap. </w:t>
      </w:r>
    </w:p>
    <w:p w:rsidR="00201002" w:rsidRDefault="00201002" w:rsidP="002F6341">
      <w:pPr>
        <w:spacing w:after="0"/>
        <w:jc w:val="both"/>
        <w:rPr>
          <w:rFonts w:ascii="Arial" w:hAnsi="Arial" w:cs="Arial"/>
        </w:rPr>
      </w:pPr>
    </w:p>
    <w:p w:rsidR="00201002" w:rsidRDefault="00201002" w:rsidP="002F6341">
      <w:pPr>
        <w:spacing w:after="0"/>
        <w:jc w:val="both"/>
        <w:rPr>
          <w:rFonts w:ascii="Arial" w:hAnsi="Arial" w:cs="Arial"/>
        </w:rPr>
      </w:pPr>
      <w:r>
        <w:rPr>
          <w:rFonts w:ascii="Arial" w:hAnsi="Arial" w:cs="Arial"/>
        </w:rPr>
        <w:t>Hévíz Város Önkormányzata</w:t>
      </w:r>
      <w:r w:rsidR="00581AAB">
        <w:rPr>
          <w:rFonts w:ascii="Arial" w:hAnsi="Arial" w:cs="Arial"/>
        </w:rPr>
        <w:t xml:space="preserve"> 51/2015. (II.26.) határozatával elviekben támogatta a pavilon megvételét, valamint felhatalmazta a polgármestert, hogy az épület adásvételével kapcsolatban folytasson le egyeztetést a Hévízi Turisztikai </w:t>
      </w:r>
      <w:proofErr w:type="spellStart"/>
      <w:r w:rsidR="00581AAB">
        <w:rPr>
          <w:rFonts w:ascii="Arial" w:hAnsi="Arial" w:cs="Arial"/>
        </w:rPr>
        <w:t>Desztinációs</w:t>
      </w:r>
      <w:proofErr w:type="spellEnd"/>
      <w:r w:rsidR="00581AAB">
        <w:rPr>
          <w:rFonts w:ascii="Arial" w:hAnsi="Arial" w:cs="Arial"/>
        </w:rPr>
        <w:t xml:space="preserve"> Menedzsment Egyesülettel annak érdekében, hogy szükséges-e az építmény megvétele illetve, hogy az építményt becsültesse fel.</w:t>
      </w:r>
    </w:p>
    <w:p w:rsidR="00581AAB" w:rsidRDefault="00581AAB" w:rsidP="002F6341">
      <w:pPr>
        <w:spacing w:after="0"/>
        <w:jc w:val="both"/>
        <w:rPr>
          <w:rFonts w:ascii="Arial" w:hAnsi="Arial" w:cs="Arial"/>
        </w:rPr>
      </w:pPr>
    </w:p>
    <w:p w:rsidR="00F27CBE" w:rsidRDefault="00581AAB" w:rsidP="002F6341">
      <w:pPr>
        <w:spacing w:after="0"/>
        <w:jc w:val="both"/>
        <w:rPr>
          <w:rFonts w:ascii="Arial" w:hAnsi="Arial" w:cs="Arial"/>
        </w:rPr>
      </w:pPr>
      <w:r>
        <w:rPr>
          <w:rFonts w:ascii="Arial" w:hAnsi="Arial" w:cs="Arial"/>
        </w:rPr>
        <w:t>Az építmény Hévíz város „kapujában” található, az ide látogatók számára az</w:t>
      </w:r>
      <w:r w:rsidR="00F27CBE">
        <w:rPr>
          <w:rFonts w:ascii="Arial" w:hAnsi="Arial" w:cs="Arial"/>
        </w:rPr>
        <w:t xml:space="preserve"> egyik legfrekventáltabb helyen. A Hévízi </w:t>
      </w:r>
      <w:proofErr w:type="spellStart"/>
      <w:r w:rsidR="00F27CBE">
        <w:rPr>
          <w:rFonts w:ascii="Arial" w:hAnsi="Arial" w:cs="Arial"/>
        </w:rPr>
        <w:t>TDM-mel</w:t>
      </w:r>
      <w:proofErr w:type="spellEnd"/>
      <w:r w:rsidR="00F27CBE">
        <w:rPr>
          <w:rFonts w:ascii="Arial" w:hAnsi="Arial" w:cs="Arial"/>
        </w:rPr>
        <w:t xml:space="preserve"> történt egyeztetés eredményeként az egyesület jelezte, hogy nem kívánja megvásárolni az ingatlant, de rendkívül jó elhelyezkedése miatt szeretne az építményben egy kihelyezett információs pontot üzemeltetni, ezért kéri az Önkormányzat segítségét az ingatlan megvételéhez.</w:t>
      </w:r>
    </w:p>
    <w:p w:rsidR="00F27CBE" w:rsidRDefault="00F27CBE" w:rsidP="002F6341">
      <w:pPr>
        <w:spacing w:after="0"/>
        <w:jc w:val="both"/>
        <w:rPr>
          <w:rFonts w:ascii="Arial" w:hAnsi="Arial" w:cs="Arial"/>
        </w:rPr>
      </w:pPr>
      <w:r>
        <w:rPr>
          <w:rFonts w:ascii="Arial" w:hAnsi="Arial" w:cs="Arial"/>
        </w:rPr>
        <w:t xml:space="preserve"> </w:t>
      </w:r>
    </w:p>
    <w:p w:rsidR="00581AAB" w:rsidRDefault="00581AAB" w:rsidP="002F6341">
      <w:pPr>
        <w:spacing w:after="0"/>
        <w:jc w:val="both"/>
        <w:rPr>
          <w:rFonts w:ascii="Arial" w:hAnsi="Arial" w:cs="Arial"/>
        </w:rPr>
      </w:pPr>
      <w:r>
        <w:rPr>
          <w:rFonts w:ascii="Arial" w:hAnsi="Arial" w:cs="Arial"/>
        </w:rPr>
        <w:t>Az ingatlan értékbecslése megtörtént, mely szerint a pavilon piaci forgalmi értéke 1,2 millió forint (ÁFA-, per- és tehermentesen).</w:t>
      </w:r>
      <w:r w:rsidR="00D37042">
        <w:rPr>
          <w:rFonts w:ascii="Arial" w:hAnsi="Arial" w:cs="Arial"/>
        </w:rPr>
        <w:t xml:space="preserve"> Az értékbecslés az előterjesztés mellékletét képzi.</w:t>
      </w:r>
    </w:p>
    <w:p w:rsidR="00F27CBE" w:rsidRDefault="00F27CBE" w:rsidP="002F6341">
      <w:pPr>
        <w:spacing w:after="0" w:line="240" w:lineRule="auto"/>
        <w:jc w:val="both"/>
        <w:rPr>
          <w:rFonts w:ascii="Arial" w:hAnsi="Arial" w:cs="Arial"/>
        </w:rPr>
      </w:pPr>
    </w:p>
    <w:p w:rsidR="002F6341" w:rsidRDefault="002F6341" w:rsidP="002F6341">
      <w:pPr>
        <w:spacing w:after="0" w:line="240" w:lineRule="auto"/>
        <w:jc w:val="both"/>
        <w:rPr>
          <w:rFonts w:ascii="Arial" w:hAnsi="Arial" w:cs="Arial"/>
        </w:rPr>
      </w:pPr>
      <w:r>
        <w:rPr>
          <w:rFonts w:ascii="Arial" w:hAnsi="Arial" w:cs="Arial"/>
        </w:rPr>
        <w:t>Tisztelt Képviselő-testület!</w:t>
      </w:r>
    </w:p>
    <w:p w:rsidR="002F6341" w:rsidRDefault="002F6341" w:rsidP="002F6341">
      <w:pPr>
        <w:spacing w:after="0" w:line="240" w:lineRule="auto"/>
        <w:jc w:val="both"/>
        <w:rPr>
          <w:rFonts w:ascii="Arial" w:hAnsi="Arial" w:cs="Arial"/>
        </w:rPr>
      </w:pPr>
    </w:p>
    <w:p w:rsidR="002F6341" w:rsidRDefault="002F6341" w:rsidP="00F27CBE">
      <w:pPr>
        <w:spacing w:after="0" w:line="240" w:lineRule="auto"/>
        <w:jc w:val="both"/>
        <w:outlineLvl w:val="0"/>
        <w:rPr>
          <w:rFonts w:ascii="Arial" w:hAnsi="Arial" w:cs="Arial"/>
        </w:rPr>
      </w:pPr>
      <w:r>
        <w:rPr>
          <w:rFonts w:ascii="Arial" w:hAnsi="Arial" w:cs="Arial"/>
        </w:rPr>
        <w:t>Kérem, az előterjesztést megvitatni, és a határozati javaslatot elfogadni szíveskedjenek!</w:t>
      </w:r>
      <w:r w:rsidR="00F27CBE">
        <w:rPr>
          <w:rFonts w:ascii="Arial" w:hAnsi="Arial" w:cs="Arial"/>
        </w:rPr>
        <w:t xml:space="preserve"> </w:t>
      </w:r>
      <w:r w:rsidRPr="00FC1987">
        <w:rPr>
          <w:rFonts w:ascii="Arial" w:hAnsi="Arial" w:cs="Arial"/>
        </w:rPr>
        <w:t>A dönté</w:t>
      </w:r>
      <w:r>
        <w:rPr>
          <w:rFonts w:ascii="Arial" w:hAnsi="Arial" w:cs="Arial"/>
        </w:rPr>
        <w:t>s egyszerű tö</w:t>
      </w:r>
      <w:r w:rsidRPr="00FC1987">
        <w:rPr>
          <w:rFonts w:ascii="Arial" w:hAnsi="Arial" w:cs="Arial"/>
        </w:rPr>
        <w:t>bbséget igényel.</w:t>
      </w:r>
    </w:p>
    <w:p w:rsidR="002F6341" w:rsidRDefault="002F6341" w:rsidP="002F6341">
      <w:pPr>
        <w:spacing w:after="0" w:line="240" w:lineRule="auto"/>
        <w:jc w:val="both"/>
        <w:rPr>
          <w:rFonts w:ascii="Arial" w:hAnsi="Arial" w:cs="Arial"/>
        </w:rPr>
      </w:pPr>
    </w:p>
    <w:p w:rsidR="00F27CBE" w:rsidRDefault="002F6341" w:rsidP="002F6341">
      <w:pPr>
        <w:spacing w:after="0" w:line="240" w:lineRule="auto"/>
        <w:rPr>
          <w:rFonts w:ascii="Arial" w:hAnsi="Arial" w:cs="Arial"/>
        </w:rPr>
      </w:pPr>
      <w:r>
        <w:rPr>
          <w:rFonts w:ascii="Arial" w:hAnsi="Arial" w:cs="Arial"/>
        </w:rPr>
        <w:t xml:space="preserve">Hévíz, </w:t>
      </w:r>
      <w:r w:rsidR="00F27CBE">
        <w:rPr>
          <w:rFonts w:ascii="Arial" w:hAnsi="Arial" w:cs="Arial"/>
        </w:rPr>
        <w:t>2015. március 13.</w:t>
      </w:r>
    </w:p>
    <w:p w:rsidR="002F6341" w:rsidRPr="000D1C3C" w:rsidRDefault="002F6341">
      <w:pPr>
        <w:rPr>
          <w:rFonts w:ascii="Arial" w:hAnsi="Arial" w:cs="Arial"/>
        </w:rPr>
      </w:pPr>
    </w:p>
    <w:p w:rsidR="008E2138" w:rsidRPr="000D1C3C" w:rsidRDefault="008E2138" w:rsidP="008E2138">
      <w:pPr>
        <w:spacing w:after="0" w:line="240" w:lineRule="auto"/>
        <w:jc w:val="center"/>
        <w:rPr>
          <w:rFonts w:ascii="Arial" w:hAnsi="Arial" w:cs="Arial"/>
          <w:b/>
          <w:sz w:val="24"/>
          <w:szCs w:val="24"/>
        </w:rPr>
      </w:pPr>
      <w:r w:rsidRPr="000D1C3C">
        <w:rPr>
          <w:rFonts w:ascii="Arial" w:hAnsi="Arial" w:cs="Arial"/>
          <w:b/>
          <w:sz w:val="24"/>
          <w:szCs w:val="24"/>
        </w:rPr>
        <w:t xml:space="preserve">2. </w:t>
      </w:r>
    </w:p>
    <w:p w:rsidR="008E2138" w:rsidRPr="000D1C3C" w:rsidRDefault="008E2138" w:rsidP="008E2138">
      <w:pPr>
        <w:spacing w:after="0" w:line="240" w:lineRule="auto"/>
        <w:jc w:val="both"/>
        <w:rPr>
          <w:rFonts w:ascii="Arial" w:hAnsi="Arial" w:cs="Arial"/>
          <w:b/>
          <w:sz w:val="24"/>
          <w:szCs w:val="24"/>
        </w:rPr>
      </w:pPr>
    </w:p>
    <w:p w:rsidR="008E2138" w:rsidRPr="000D1C3C" w:rsidRDefault="00C610AA" w:rsidP="00C610AA">
      <w:pPr>
        <w:pStyle w:val="Listaszerbekezds"/>
        <w:spacing w:after="0" w:line="240" w:lineRule="auto"/>
        <w:ind w:firstLine="2541"/>
        <w:rPr>
          <w:rFonts w:ascii="Arial" w:hAnsi="Arial" w:cs="Arial"/>
          <w:b/>
          <w:sz w:val="24"/>
          <w:szCs w:val="24"/>
        </w:rPr>
      </w:pPr>
      <w:r w:rsidRPr="000D1C3C">
        <w:rPr>
          <w:rFonts w:ascii="Arial" w:hAnsi="Arial" w:cs="Arial"/>
          <w:b/>
          <w:sz w:val="24"/>
          <w:szCs w:val="24"/>
        </w:rPr>
        <w:t xml:space="preserve">  Határozati javaslat</w:t>
      </w:r>
    </w:p>
    <w:p w:rsidR="008E2138" w:rsidRPr="000D1C3C" w:rsidRDefault="008E2138" w:rsidP="002F6341">
      <w:pPr>
        <w:spacing w:after="0" w:line="240" w:lineRule="auto"/>
        <w:jc w:val="both"/>
        <w:rPr>
          <w:rFonts w:ascii="Arial" w:hAnsi="Arial" w:cs="Arial"/>
          <w:sz w:val="24"/>
          <w:szCs w:val="24"/>
        </w:rPr>
      </w:pPr>
    </w:p>
    <w:p w:rsidR="008E2138" w:rsidRDefault="009C3B24" w:rsidP="00EE250C">
      <w:pPr>
        <w:pStyle w:val="Listaszerbekezds"/>
        <w:numPr>
          <w:ilvl w:val="0"/>
          <w:numId w:val="3"/>
        </w:numPr>
        <w:jc w:val="both"/>
        <w:rPr>
          <w:rFonts w:ascii="Arial" w:hAnsi="Arial" w:cs="Arial"/>
        </w:rPr>
      </w:pPr>
      <w:r w:rsidRPr="00EE250C">
        <w:rPr>
          <w:rFonts w:ascii="Arial" w:hAnsi="Arial" w:cs="Arial"/>
        </w:rPr>
        <w:t xml:space="preserve">Hévíz Város Önkormányzat Képviselő-testülete </w:t>
      </w:r>
      <w:r w:rsidR="002F6341" w:rsidRPr="00EE250C">
        <w:rPr>
          <w:rFonts w:ascii="Arial" w:hAnsi="Arial" w:cs="Arial"/>
        </w:rPr>
        <w:t xml:space="preserve">a </w:t>
      </w:r>
      <w:proofErr w:type="spellStart"/>
      <w:r w:rsidRPr="00EE250C">
        <w:rPr>
          <w:rFonts w:ascii="Arial" w:hAnsi="Arial" w:cs="Arial"/>
        </w:rPr>
        <w:t>Bézsenyi</w:t>
      </w:r>
      <w:proofErr w:type="spellEnd"/>
      <w:r w:rsidRPr="00EE250C">
        <w:rPr>
          <w:rFonts w:ascii="Arial" w:hAnsi="Arial" w:cs="Arial"/>
        </w:rPr>
        <w:t xml:space="preserve"> Ferenc</w:t>
      </w:r>
      <w:r w:rsidR="001137F8" w:rsidRPr="00EE250C">
        <w:rPr>
          <w:rFonts w:ascii="Arial" w:hAnsi="Arial" w:cs="Arial"/>
        </w:rPr>
        <w:t xml:space="preserve"> tulajdonában álló, hévízi</w:t>
      </w:r>
      <w:r w:rsidRPr="00EE250C">
        <w:rPr>
          <w:rFonts w:ascii="Arial" w:hAnsi="Arial" w:cs="Arial"/>
        </w:rPr>
        <w:t xml:space="preserve"> Nagyparkolóban önkormányzati tulajdonú </w:t>
      </w:r>
      <w:r w:rsidR="001137F8" w:rsidRPr="00EE250C">
        <w:rPr>
          <w:rFonts w:ascii="Arial" w:hAnsi="Arial" w:cs="Arial"/>
        </w:rPr>
        <w:t xml:space="preserve">területen található </w:t>
      </w:r>
      <w:r w:rsidRPr="00EE250C">
        <w:rPr>
          <w:rFonts w:ascii="Arial" w:hAnsi="Arial" w:cs="Arial"/>
        </w:rPr>
        <w:t xml:space="preserve">felépítményét </w:t>
      </w:r>
      <w:r w:rsidR="00F27CBE" w:rsidRPr="00EE250C">
        <w:rPr>
          <w:rFonts w:ascii="Arial" w:hAnsi="Arial" w:cs="Arial"/>
        </w:rPr>
        <w:t xml:space="preserve">megvásárolja, </w:t>
      </w:r>
      <w:r w:rsidR="00EE250C" w:rsidRPr="00EE250C">
        <w:rPr>
          <w:rFonts w:ascii="Arial" w:hAnsi="Arial" w:cs="Arial"/>
        </w:rPr>
        <w:t xml:space="preserve">nettó </w:t>
      </w:r>
      <w:r w:rsidR="00EE250C">
        <w:rPr>
          <w:rFonts w:ascii="Arial" w:hAnsi="Arial" w:cs="Arial"/>
        </w:rPr>
        <w:t>1.200,- e Ft</w:t>
      </w:r>
      <w:r w:rsidR="00EE250C" w:rsidRPr="00EE250C">
        <w:rPr>
          <w:rFonts w:ascii="Arial" w:hAnsi="Arial" w:cs="Arial"/>
        </w:rPr>
        <w:t xml:space="preserve"> (Áfa, per és tehermentes)</w:t>
      </w:r>
      <w:r w:rsidR="00F27CBE" w:rsidRPr="00EE250C">
        <w:rPr>
          <w:rFonts w:ascii="Arial" w:hAnsi="Arial" w:cs="Arial"/>
        </w:rPr>
        <w:t xml:space="preserve"> forintért</w:t>
      </w:r>
      <w:r w:rsidRPr="00EE250C">
        <w:rPr>
          <w:rFonts w:ascii="Arial" w:hAnsi="Arial" w:cs="Arial"/>
        </w:rPr>
        <w:t>.</w:t>
      </w:r>
    </w:p>
    <w:p w:rsidR="00EE250C" w:rsidRPr="00EE250C" w:rsidRDefault="00EE250C" w:rsidP="00EE250C">
      <w:pPr>
        <w:pStyle w:val="Listaszerbekezds"/>
        <w:jc w:val="both"/>
        <w:rPr>
          <w:rFonts w:ascii="Arial" w:hAnsi="Arial" w:cs="Arial"/>
        </w:rPr>
      </w:pPr>
    </w:p>
    <w:p w:rsidR="00EE250C" w:rsidRPr="00EE250C" w:rsidRDefault="00EE250C" w:rsidP="00EE250C">
      <w:pPr>
        <w:pStyle w:val="Listaszerbekezds"/>
        <w:numPr>
          <w:ilvl w:val="0"/>
          <w:numId w:val="3"/>
        </w:numPr>
        <w:spacing w:after="0" w:line="240" w:lineRule="auto"/>
        <w:contextualSpacing w:val="0"/>
        <w:jc w:val="both"/>
        <w:rPr>
          <w:rFonts w:ascii="Arial" w:hAnsi="Arial" w:cs="Arial"/>
          <w:sz w:val="20"/>
          <w:szCs w:val="20"/>
        </w:rPr>
      </w:pPr>
      <w:r w:rsidRPr="00EE250C">
        <w:rPr>
          <w:rFonts w:ascii="Arial" w:hAnsi="Arial" w:cs="Arial"/>
        </w:rPr>
        <w:t>A képviselőtestület Hévíz Város Önkormányzat 2015. évi költségvetéséről szóló 3/2015. (II.17.) számú rendelet 1/8 melléklet felhalmozási tartalék terhére 1.200,- e Ft</w:t>
      </w:r>
      <w:r>
        <w:rPr>
          <w:rFonts w:ascii="Arial" w:hAnsi="Arial" w:cs="Arial"/>
        </w:rPr>
        <w:t xml:space="preserve"> </w:t>
      </w:r>
      <w:r w:rsidRPr="00EE250C">
        <w:rPr>
          <w:rFonts w:ascii="Arial" w:hAnsi="Arial" w:cs="Arial"/>
        </w:rPr>
        <w:t xml:space="preserve">forrást biztosít. </w:t>
      </w:r>
    </w:p>
    <w:p w:rsidR="00EE250C" w:rsidRPr="00EE250C" w:rsidRDefault="00EE250C" w:rsidP="00EE250C">
      <w:pPr>
        <w:spacing w:after="0" w:line="240" w:lineRule="auto"/>
        <w:jc w:val="both"/>
        <w:rPr>
          <w:rFonts w:ascii="Arial" w:hAnsi="Arial" w:cs="Arial"/>
          <w:sz w:val="20"/>
          <w:szCs w:val="20"/>
        </w:rPr>
      </w:pPr>
    </w:p>
    <w:p w:rsidR="009C3B24" w:rsidRPr="00EE250C" w:rsidRDefault="002F6341" w:rsidP="00EE250C">
      <w:pPr>
        <w:pStyle w:val="Listaszerbekezds"/>
        <w:numPr>
          <w:ilvl w:val="0"/>
          <w:numId w:val="3"/>
        </w:numPr>
        <w:jc w:val="both"/>
        <w:rPr>
          <w:rFonts w:ascii="Arial" w:hAnsi="Arial" w:cs="Arial"/>
        </w:rPr>
      </w:pPr>
      <w:r w:rsidRPr="00EE250C">
        <w:rPr>
          <w:rFonts w:ascii="Arial" w:hAnsi="Arial" w:cs="Arial"/>
        </w:rPr>
        <w:t>A K</w:t>
      </w:r>
      <w:r w:rsidR="009C3B24" w:rsidRPr="00EE250C">
        <w:rPr>
          <w:rFonts w:ascii="Arial" w:hAnsi="Arial" w:cs="Arial"/>
        </w:rPr>
        <w:t>épviselő-testület</w:t>
      </w:r>
      <w:r w:rsidR="004D0A8C" w:rsidRPr="00EE250C">
        <w:rPr>
          <w:rFonts w:ascii="Arial" w:hAnsi="Arial" w:cs="Arial"/>
        </w:rPr>
        <w:t xml:space="preserve"> felhatalmazza</w:t>
      </w:r>
      <w:r w:rsidRPr="00EE250C">
        <w:rPr>
          <w:rFonts w:ascii="Arial" w:hAnsi="Arial" w:cs="Arial"/>
        </w:rPr>
        <w:t xml:space="preserve"> a</w:t>
      </w:r>
      <w:r w:rsidR="004D0A8C" w:rsidRPr="00EE250C">
        <w:rPr>
          <w:rFonts w:ascii="Arial" w:hAnsi="Arial" w:cs="Arial"/>
        </w:rPr>
        <w:t xml:space="preserve"> polgármestert, hogy </w:t>
      </w:r>
      <w:r w:rsidRPr="00EE250C">
        <w:rPr>
          <w:rFonts w:ascii="Arial" w:hAnsi="Arial" w:cs="Arial"/>
        </w:rPr>
        <w:t xml:space="preserve">az ingatlan adásvételével kapcsolatban Hévíz Város Önkormányzat </w:t>
      </w:r>
      <w:r w:rsidR="00F27CBE" w:rsidRPr="00EE250C">
        <w:rPr>
          <w:rFonts w:ascii="Arial" w:hAnsi="Arial" w:cs="Arial"/>
        </w:rPr>
        <w:t>nevében az adásvételi szerződést megkösse.</w:t>
      </w:r>
    </w:p>
    <w:p w:rsidR="00EE250C" w:rsidRPr="00EE250C" w:rsidRDefault="00EE250C" w:rsidP="00EE250C">
      <w:pPr>
        <w:pStyle w:val="Listaszerbekezds"/>
        <w:rPr>
          <w:rFonts w:ascii="Arial" w:hAnsi="Arial" w:cs="Arial"/>
        </w:rPr>
      </w:pPr>
    </w:p>
    <w:p w:rsidR="00EE250C" w:rsidRDefault="00EE250C" w:rsidP="00EE250C">
      <w:pPr>
        <w:pStyle w:val="Listaszerbekezds"/>
        <w:numPr>
          <w:ilvl w:val="0"/>
          <w:numId w:val="3"/>
        </w:numPr>
        <w:spacing w:line="240" w:lineRule="auto"/>
        <w:contextualSpacing w:val="0"/>
        <w:jc w:val="both"/>
        <w:rPr>
          <w:rFonts w:ascii="Arial" w:hAnsi="Arial" w:cs="Arial"/>
        </w:rPr>
      </w:pPr>
      <w:r>
        <w:rPr>
          <w:rFonts w:ascii="Arial" w:hAnsi="Arial" w:cs="Arial"/>
        </w:rPr>
        <w:t>A képviselőtestület felkéri Hévíz Város Jegyzőjét, hogy Hévíz Város Önkormányzat 2015. évi költségvetéséről szóló 3/2015. (II.17.) számú rendelet módosítására irányuló rendelet-tervezet kidolgozásáról gondoskodjon.</w:t>
      </w:r>
    </w:p>
    <w:p w:rsidR="00EE250C" w:rsidRPr="00EE250C" w:rsidRDefault="00EE250C" w:rsidP="00EE250C">
      <w:pPr>
        <w:pStyle w:val="Listaszerbekezds"/>
        <w:jc w:val="both"/>
        <w:rPr>
          <w:rFonts w:ascii="Arial" w:hAnsi="Arial" w:cs="Arial"/>
        </w:rPr>
      </w:pPr>
    </w:p>
    <w:p w:rsidR="009C3B24" w:rsidRPr="000D1C3C" w:rsidRDefault="004D0A8C" w:rsidP="001137F8">
      <w:pPr>
        <w:spacing w:after="0"/>
        <w:rPr>
          <w:rFonts w:ascii="Arial" w:hAnsi="Arial" w:cs="Arial"/>
        </w:rPr>
      </w:pPr>
      <w:r w:rsidRPr="000D1C3C">
        <w:rPr>
          <w:rFonts w:ascii="Arial" w:hAnsi="Arial" w:cs="Arial"/>
        </w:rPr>
        <w:t>Felelős: Papp Gábor polgármester</w:t>
      </w:r>
    </w:p>
    <w:p w:rsidR="004D0A8C" w:rsidRPr="000D1C3C" w:rsidRDefault="00EE250C" w:rsidP="001137F8">
      <w:pPr>
        <w:spacing w:after="0"/>
        <w:rPr>
          <w:rFonts w:ascii="Arial" w:hAnsi="Arial" w:cs="Arial"/>
        </w:rPr>
      </w:pPr>
      <w:r>
        <w:rPr>
          <w:rFonts w:ascii="Arial" w:hAnsi="Arial" w:cs="Arial"/>
        </w:rPr>
        <w:t>Határidő: 2015. április 30.</w:t>
      </w:r>
    </w:p>
    <w:p w:rsidR="008E2138" w:rsidRPr="000D1C3C" w:rsidRDefault="008E2138">
      <w:pPr>
        <w:rPr>
          <w:rFonts w:ascii="Arial" w:hAnsi="Arial" w:cs="Arial"/>
        </w:rPr>
      </w:pP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1137F8" w:rsidRDefault="001137F8"/>
    <w:p w:rsidR="001137F8" w:rsidRDefault="001137F8"/>
    <w:p w:rsidR="001137F8" w:rsidRDefault="001137F8"/>
    <w:p w:rsidR="001137F8" w:rsidRDefault="001137F8"/>
    <w:p w:rsidR="001137F8" w:rsidRDefault="001137F8"/>
    <w:p w:rsidR="001137F8" w:rsidRDefault="001137F8"/>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tbl>
      <w:tblPr>
        <w:tblW w:w="0" w:type="auto"/>
        <w:tblInd w:w="-118" w:type="dxa"/>
        <w:tblLayout w:type="fixed"/>
        <w:tblCellMar>
          <w:left w:w="0" w:type="dxa"/>
          <w:right w:w="0" w:type="dxa"/>
        </w:tblCellMar>
        <w:tblLook w:val="0000" w:firstRow="0" w:lastRow="0" w:firstColumn="0" w:lastColumn="0" w:noHBand="0" w:noVBand="0"/>
      </w:tblPr>
      <w:tblGrid>
        <w:gridCol w:w="2625"/>
        <w:gridCol w:w="1284"/>
        <w:gridCol w:w="1439"/>
        <w:gridCol w:w="1417"/>
        <w:gridCol w:w="2846"/>
        <w:gridCol w:w="10"/>
        <w:gridCol w:w="15"/>
      </w:tblGrid>
      <w:tr w:rsidR="00293013" w:rsidTr="00EA1BF4">
        <w:trPr>
          <w:trHeight w:val="549"/>
        </w:trPr>
        <w:tc>
          <w:tcPr>
            <w:tcW w:w="9611" w:type="dxa"/>
            <w:gridSpan w:val="5"/>
            <w:tcBorders>
              <w:top w:val="single" w:sz="4" w:space="0" w:color="000000"/>
              <w:left w:val="single" w:sz="4" w:space="0" w:color="000000"/>
              <w:bottom w:val="single" w:sz="4" w:space="0" w:color="000000"/>
            </w:tcBorders>
            <w:shd w:val="clear" w:color="auto" w:fill="auto"/>
          </w:tcPr>
          <w:p w:rsidR="00293013" w:rsidRDefault="00293013" w:rsidP="00EA1BF4">
            <w:pPr>
              <w:spacing w:after="0" w:line="100" w:lineRule="atLeast"/>
              <w:rPr>
                <w:rFonts w:ascii="Arial" w:hAnsi="Arial" w:cs="Arial"/>
                <w:szCs w:val="20"/>
              </w:rPr>
            </w:pPr>
            <w:r>
              <w:rPr>
                <w:rFonts w:ascii="Arial" w:hAnsi="Arial" w:cs="Arial"/>
                <w:b/>
                <w:szCs w:val="20"/>
              </w:rPr>
              <w:t xml:space="preserve">Előterjesztés tárgya: </w:t>
            </w:r>
          </w:p>
          <w:p w:rsidR="00293013" w:rsidRDefault="00293013" w:rsidP="00EA1BF4">
            <w:pPr>
              <w:spacing w:after="0" w:line="100" w:lineRule="atLeast"/>
              <w:rPr>
                <w:rFonts w:ascii="Arial" w:hAnsi="Arial" w:cs="Arial"/>
                <w:szCs w:val="20"/>
              </w:rPr>
            </w:pPr>
          </w:p>
          <w:p w:rsidR="00293013" w:rsidRDefault="00293013" w:rsidP="00EA1BF4">
            <w:pPr>
              <w:spacing w:after="0" w:line="100" w:lineRule="atLeast"/>
              <w:jc w:val="both"/>
              <w:rPr>
                <w:rFonts w:ascii="Arial" w:hAnsi="Arial" w:cs="Arial"/>
              </w:rPr>
            </w:pPr>
            <w:r>
              <w:rPr>
                <w:rFonts w:ascii="Arial" w:hAnsi="Arial" w:cs="Arial"/>
              </w:rPr>
              <w:t>Nagyparkolói újságos pavilon megvásárlása</w:t>
            </w:r>
          </w:p>
          <w:p w:rsidR="00293013" w:rsidRDefault="00293013" w:rsidP="00EA1BF4">
            <w:pPr>
              <w:spacing w:after="0" w:line="100" w:lineRule="atLeast"/>
              <w:jc w:val="both"/>
              <w:rPr>
                <w:rFonts w:ascii="Arial" w:hAnsi="Arial" w:cs="Arial"/>
              </w:rPr>
            </w:pPr>
          </w:p>
        </w:tc>
        <w:tc>
          <w:tcPr>
            <w:tcW w:w="25" w:type="dxa"/>
            <w:gridSpan w:val="2"/>
            <w:tcBorders>
              <w:left w:val="single" w:sz="4" w:space="0" w:color="000000"/>
            </w:tcBorders>
            <w:shd w:val="clear" w:color="auto" w:fill="auto"/>
          </w:tcPr>
          <w:p w:rsidR="00293013" w:rsidRDefault="00293013" w:rsidP="00EA1BF4">
            <w:pPr>
              <w:snapToGrid w:val="0"/>
              <w:rPr>
                <w:rFonts w:ascii="Arial" w:hAnsi="Arial" w:cs="Arial"/>
                <w:b/>
                <w:sz w:val="20"/>
                <w:szCs w:val="20"/>
              </w:rPr>
            </w:pPr>
          </w:p>
        </w:tc>
      </w:tr>
      <w:tr w:rsidR="00293013" w:rsidTr="00EA1BF4">
        <w:tblPrEx>
          <w:tblCellMar>
            <w:left w:w="108" w:type="dxa"/>
            <w:right w:w="108" w:type="dxa"/>
          </w:tblCellMar>
        </w:tblPrEx>
        <w:trPr>
          <w:gridAfter w:val="1"/>
          <w:wAfter w:w="15" w:type="dxa"/>
          <w:trHeight w:val="1230"/>
        </w:trPr>
        <w:tc>
          <w:tcPr>
            <w:tcW w:w="2625" w:type="dxa"/>
            <w:tcBorders>
              <w:top w:val="single" w:sz="4" w:space="0" w:color="000000"/>
              <w:left w:val="single" w:sz="4" w:space="0" w:color="000000"/>
              <w:bottom w:val="single" w:sz="4" w:space="0" w:color="000000"/>
            </w:tcBorders>
            <w:shd w:val="clear" w:color="auto" w:fill="auto"/>
          </w:tcPr>
          <w:p w:rsidR="00293013" w:rsidRDefault="00293013" w:rsidP="00EA1BF4">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93013" w:rsidRDefault="00293013" w:rsidP="00EA1BF4">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293013" w:rsidTr="00EA1BF4">
        <w:tblPrEx>
          <w:tblCellMar>
            <w:left w:w="108" w:type="dxa"/>
            <w:right w:w="108" w:type="dxa"/>
          </w:tblCellMar>
        </w:tblPrEx>
        <w:trPr>
          <w:gridAfter w:val="1"/>
          <w:wAfter w:w="15" w:type="dxa"/>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sz w:val="20"/>
                <w:szCs w:val="20"/>
              </w:rPr>
            </w:pPr>
            <w:r>
              <w:rPr>
                <w:rFonts w:ascii="Arial" w:hAnsi="Arial" w:cs="Arial"/>
                <w:sz w:val="20"/>
                <w:szCs w:val="20"/>
              </w:rPr>
              <w:t>2015. március 19.</w:t>
            </w:r>
          </w:p>
        </w:tc>
        <w:tc>
          <w:tcPr>
            <w:tcW w:w="1439"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pacing w:after="0" w:line="100" w:lineRule="atLeast"/>
              <w:rPr>
                <w:rFonts w:ascii="Arial" w:hAnsi="Arial" w:cs="Arial"/>
                <w:sz w:val="20"/>
                <w:szCs w:val="20"/>
              </w:rPr>
            </w:pPr>
            <w:r>
              <w:rPr>
                <w:rFonts w:ascii="Arial" w:hAnsi="Arial" w:cs="Arial"/>
                <w:sz w:val="20"/>
                <w:szCs w:val="20"/>
              </w:rPr>
              <w:t>73/2015. (III.19.)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293013" w:rsidRDefault="00293013" w:rsidP="00EA1BF4">
            <w:pPr>
              <w:snapToGrid w:val="0"/>
              <w:spacing w:after="0" w:line="100" w:lineRule="atLeast"/>
              <w:rPr>
                <w:rFonts w:ascii="Arial" w:hAnsi="Arial" w:cs="Arial"/>
                <w:sz w:val="20"/>
                <w:szCs w:val="20"/>
              </w:rPr>
            </w:pPr>
            <w:r>
              <w:rPr>
                <w:rFonts w:ascii="Arial" w:hAnsi="Arial" w:cs="Arial"/>
                <w:sz w:val="20"/>
                <w:szCs w:val="20"/>
              </w:rPr>
              <w:t>3 igen szavazat</w:t>
            </w:r>
          </w:p>
        </w:tc>
        <w:tc>
          <w:tcPr>
            <w:tcW w:w="28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93013" w:rsidRPr="00075426" w:rsidRDefault="00293013" w:rsidP="00EA1BF4">
            <w:pPr>
              <w:spacing w:after="0" w:line="100" w:lineRule="atLeast"/>
              <w:rPr>
                <w:color w:val="C00000"/>
              </w:rPr>
            </w:pPr>
            <w:r w:rsidRPr="00293013">
              <w:rPr>
                <w:rFonts w:ascii="Arial" w:hAnsi="Arial" w:cs="Arial"/>
                <w:sz w:val="20"/>
                <w:szCs w:val="20"/>
              </w:rPr>
              <w:t>A bizottság az előterjesztés határozati javaslatában foglaltak elfogadását egyhangúlag javasolja a Képviselő-testület számára az ülésen ismertetett, az eladó által tett bruttó 1.400 ezer forintos ajánlat támogatásával</w:t>
            </w:r>
            <w:r w:rsidRPr="00075426">
              <w:rPr>
                <w:rFonts w:ascii="Arial" w:hAnsi="Arial" w:cs="Arial"/>
                <w:color w:val="C00000"/>
                <w:sz w:val="20"/>
                <w:szCs w:val="20"/>
              </w:rPr>
              <w:t>.</w:t>
            </w:r>
          </w:p>
        </w:tc>
      </w:tr>
    </w:tbl>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bookmarkStart w:id="0" w:name="_GoBack"/>
      <w:bookmarkEnd w:id="0"/>
    </w:p>
    <w:p w:rsidR="008E2138" w:rsidRDefault="008E2138"/>
    <w:p w:rsidR="008E2138" w:rsidRPr="00956A7D" w:rsidRDefault="008E2138" w:rsidP="008E2138">
      <w:pPr>
        <w:jc w:val="center"/>
        <w:rPr>
          <w:rFonts w:ascii="Arial" w:hAnsi="Arial" w:cs="Arial"/>
          <w:b/>
          <w:sz w:val="24"/>
          <w:szCs w:val="24"/>
        </w:rPr>
      </w:pPr>
      <w:r w:rsidRPr="00956A7D">
        <w:rPr>
          <w:rFonts w:ascii="Arial" w:hAnsi="Arial" w:cs="Arial"/>
          <w:b/>
          <w:sz w:val="24"/>
          <w:szCs w:val="24"/>
        </w:rPr>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8E2138" w:rsidRDefault="008E2138"/>
    <w:p w:rsidR="008E2138" w:rsidRDefault="004C1EB3" w:rsidP="004C1EB3">
      <w:pPr>
        <w:jc w:val="center"/>
      </w:pPr>
      <w:r>
        <w:rPr>
          <w:noProof/>
          <w:lang w:eastAsia="hu-HU"/>
        </w:rPr>
        <w:drawing>
          <wp:inline distT="0" distB="0" distL="0" distR="0" wp14:anchorId="6CA59537" wp14:editId="275A5F7C">
            <wp:extent cx="4853940" cy="6867319"/>
            <wp:effectExtent l="0" t="0" r="381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ujsagos pavilon.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57286" cy="6872052"/>
                    </a:xfrm>
                    <a:prstGeom prst="rect">
                      <a:avLst/>
                    </a:prstGeom>
                  </pic:spPr>
                </pic:pic>
              </a:graphicData>
            </a:graphic>
          </wp:inline>
        </w:drawing>
      </w:r>
    </w:p>
    <w:p w:rsidR="008E2138" w:rsidRDefault="008E2138"/>
    <w:p w:rsidR="008E2138" w:rsidRDefault="008E2138"/>
    <w:p w:rsidR="008E2138" w:rsidRDefault="008E2138"/>
    <w:p w:rsidR="000D1C3C" w:rsidRDefault="000D1C3C"/>
    <w:p w:rsidR="00E004D1" w:rsidRDefault="00E004D1" w:rsidP="009D19D7">
      <w:pPr>
        <w:jc w:val="center"/>
        <w:rPr>
          <w:rFonts w:ascii="Arial" w:hAnsi="Arial" w:cs="Arial"/>
          <w:b/>
          <w:sz w:val="24"/>
          <w:szCs w:val="24"/>
        </w:rPr>
      </w:pPr>
      <w:r>
        <w:rPr>
          <w:rFonts w:ascii="Arial" w:hAnsi="Arial" w:cs="Arial"/>
          <w:b/>
          <w:sz w:val="24"/>
          <w:szCs w:val="24"/>
        </w:rPr>
        <w:br w:type="page"/>
      </w:r>
      <w:r>
        <w:rPr>
          <w:rFonts w:ascii="Arial" w:hAnsi="Arial" w:cs="Arial"/>
          <w:b/>
          <w:sz w:val="24"/>
          <w:szCs w:val="24"/>
        </w:rPr>
        <w:lastRenderedPageBreak/>
        <w:t>Ingatlan értékbecslés (egyszerűsített):</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Cím: Hévíz, Nagyparkoló, Széchényi u. felöli oldalon található fabódé.</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Művelési ág: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Árusítóhely (üzlethelyiség)</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Hasznos alapterület: </w:t>
      </w:r>
      <w:r w:rsidR="008337D9">
        <w:rPr>
          <w:rFonts w:ascii="Arial" w:hAnsi="Arial" w:cs="Arial"/>
          <w:sz w:val="24"/>
          <w:szCs w:val="24"/>
        </w:rPr>
        <w:tab/>
      </w:r>
      <w:r w:rsidRPr="008337D9">
        <w:rPr>
          <w:rFonts w:ascii="Arial" w:hAnsi="Arial" w:cs="Arial"/>
          <w:sz w:val="24"/>
          <w:szCs w:val="24"/>
        </w:rPr>
        <w:t>9 m2</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Műszaki leírás: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A vizsgált ingatlan kb. 1995-környékén létesült.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Alapozása: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Beton.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Falazata: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Könnyűszerkezetes (favázas) technológia.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Tetőszerkezete: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Fa.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Tetőhéjazata: </w:t>
      </w:r>
      <w:r w:rsidR="008337D9">
        <w:rPr>
          <w:rFonts w:ascii="Arial" w:hAnsi="Arial" w:cs="Arial"/>
          <w:sz w:val="24"/>
          <w:szCs w:val="24"/>
        </w:rPr>
        <w:tab/>
      </w:r>
      <w:r w:rsidR="008337D9">
        <w:rPr>
          <w:rFonts w:ascii="Arial" w:hAnsi="Arial" w:cs="Arial"/>
          <w:sz w:val="24"/>
          <w:szCs w:val="24"/>
        </w:rPr>
        <w:tab/>
      </w:r>
      <w:proofErr w:type="spellStart"/>
      <w:r w:rsidRPr="008337D9">
        <w:rPr>
          <w:rFonts w:ascii="Arial" w:hAnsi="Arial" w:cs="Arial"/>
          <w:sz w:val="24"/>
          <w:szCs w:val="24"/>
        </w:rPr>
        <w:t>Tegola</w:t>
      </w:r>
      <w:proofErr w:type="spellEnd"/>
      <w:r w:rsidRPr="008337D9">
        <w:rPr>
          <w:rFonts w:ascii="Arial" w:hAnsi="Arial" w:cs="Arial"/>
          <w:sz w:val="24"/>
          <w:szCs w:val="24"/>
        </w:rPr>
        <w:t xml:space="preserve">.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Nyílászárók: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Fa szerkezetű, hőszigetelt üvegezésű ajtók és ablakok.</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Padlóburkolat: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Kerámia</w:t>
      </w:r>
      <w:r w:rsidR="008337D9">
        <w:rPr>
          <w:rFonts w:ascii="Arial" w:hAnsi="Arial" w:cs="Arial"/>
          <w:sz w:val="24"/>
          <w:szCs w:val="24"/>
        </w:rPr>
        <w:t>.</w:t>
      </w:r>
    </w:p>
    <w:p w:rsidR="00E004D1" w:rsidRPr="008337D9" w:rsidRDefault="00E004D1" w:rsidP="00E004D1">
      <w:pPr>
        <w:spacing w:after="0" w:line="240" w:lineRule="auto"/>
        <w:jc w:val="both"/>
        <w:rPr>
          <w:rFonts w:ascii="Arial" w:hAnsi="Arial" w:cs="Arial"/>
          <w:sz w:val="24"/>
          <w:szCs w:val="24"/>
        </w:rPr>
      </w:pPr>
      <w:proofErr w:type="spellStart"/>
      <w:r w:rsidRPr="008337D9">
        <w:rPr>
          <w:rFonts w:ascii="Arial" w:hAnsi="Arial" w:cs="Arial"/>
          <w:sz w:val="24"/>
          <w:szCs w:val="24"/>
        </w:rPr>
        <w:t>Közművesítettsége</w:t>
      </w:r>
      <w:proofErr w:type="spellEnd"/>
      <w:r w:rsidRPr="008337D9">
        <w:rPr>
          <w:rFonts w:ascii="Arial" w:hAnsi="Arial" w:cs="Arial"/>
          <w:sz w:val="24"/>
          <w:szCs w:val="24"/>
        </w:rPr>
        <w:t xml:space="preserve">: </w:t>
      </w:r>
      <w:r w:rsidR="008337D9">
        <w:rPr>
          <w:rFonts w:ascii="Arial" w:hAnsi="Arial" w:cs="Arial"/>
          <w:sz w:val="24"/>
          <w:szCs w:val="24"/>
        </w:rPr>
        <w:tab/>
      </w:r>
      <w:r w:rsidRPr="008337D9">
        <w:rPr>
          <w:rFonts w:ascii="Arial" w:hAnsi="Arial" w:cs="Arial"/>
          <w:sz w:val="24"/>
          <w:szCs w:val="24"/>
        </w:rPr>
        <w:t>Elektromos áram.</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Fűtése: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Nincs.</w:t>
      </w:r>
    </w:p>
    <w:p w:rsidR="00E004D1" w:rsidRPr="008337D9" w:rsidRDefault="00E004D1" w:rsidP="00E004D1">
      <w:pPr>
        <w:spacing w:after="0" w:line="240" w:lineRule="auto"/>
        <w:jc w:val="both"/>
        <w:rPr>
          <w:rFonts w:ascii="Arial" w:hAnsi="Arial" w:cs="Arial"/>
          <w:sz w:val="24"/>
          <w:szCs w:val="24"/>
        </w:rPr>
      </w:pP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Műszaki állapota szemrevételezés alapján jó, az építmény rendesen karbantartott, szezonálisan használt (nyári szezon). Az építmény alatti földterület Hévíz Város Önkormányzatának tulajdonában van, ezért az értékbecslés csak az építmény értékét tartalmazza.</w:t>
      </w:r>
    </w:p>
    <w:p w:rsidR="00E004D1" w:rsidRPr="008337D9" w:rsidRDefault="00E004D1" w:rsidP="00E004D1">
      <w:pPr>
        <w:jc w:val="both"/>
        <w:rPr>
          <w:rFonts w:ascii="Arial" w:hAnsi="Arial" w:cs="Arial"/>
          <w:sz w:val="24"/>
          <w:szCs w:val="24"/>
        </w:rPr>
      </w:pPr>
    </w:p>
    <w:p w:rsidR="00E004D1" w:rsidRPr="008337D9" w:rsidRDefault="00E004D1" w:rsidP="00E004D1">
      <w:pPr>
        <w:jc w:val="both"/>
        <w:rPr>
          <w:rFonts w:ascii="Arial" w:hAnsi="Arial" w:cs="Arial"/>
          <w:sz w:val="24"/>
          <w:szCs w:val="24"/>
        </w:rPr>
      </w:pPr>
      <w:r w:rsidRPr="008337D9">
        <w:rPr>
          <w:rFonts w:ascii="Arial" w:hAnsi="Arial" w:cs="Arial"/>
          <w:sz w:val="24"/>
          <w:szCs w:val="24"/>
        </w:rPr>
        <w:t xml:space="preserve">Az építmény piaci forgalmi értékének megállapítása piaci adatok összehasonlítása, nettó pótlási költség valamint hozamszámítás módszerekkel történt. Az adatokat a </w:t>
      </w:r>
      <w:hyperlink r:id="rId8" w:history="1">
        <w:r w:rsidRPr="008337D9">
          <w:rPr>
            <w:rStyle w:val="Hiperhivatkozs"/>
            <w:rFonts w:ascii="Arial" w:hAnsi="Arial" w:cs="Arial"/>
            <w:color w:val="auto"/>
            <w:sz w:val="24"/>
            <w:szCs w:val="24"/>
          </w:rPr>
          <w:t>www.ingatlan.com</w:t>
        </w:r>
      </w:hyperlink>
      <w:r w:rsidRPr="008337D9">
        <w:rPr>
          <w:rFonts w:ascii="Arial" w:hAnsi="Arial" w:cs="Arial"/>
          <w:sz w:val="24"/>
          <w:szCs w:val="24"/>
        </w:rPr>
        <w:t xml:space="preserve"> felületről vettem hozzá. A kínálati adatokat a szakmai körökben általánosan használt -13%-kal korrigáltam.</w:t>
      </w:r>
    </w:p>
    <w:p w:rsidR="00E004D1" w:rsidRDefault="00E004D1" w:rsidP="00E004D1">
      <w:pPr>
        <w:rPr>
          <w:rFonts w:ascii="Arial" w:hAnsi="Arial" w:cs="Arial"/>
          <w:color w:val="1F497D"/>
          <w:sz w:val="20"/>
          <w:szCs w:val="20"/>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Piaci adatok összehasonlítása módszer:</w:t>
      </w:r>
    </w:p>
    <w:p w:rsidR="00E004D1" w:rsidRDefault="00E004D1" w:rsidP="00E004D1">
      <w:pPr>
        <w:rPr>
          <w:rFonts w:ascii="Arial" w:hAnsi="Arial" w:cs="Arial"/>
          <w:color w:val="1F497D"/>
          <w:sz w:val="20"/>
          <w:szCs w:val="20"/>
        </w:rPr>
      </w:pPr>
    </w:p>
    <w:tbl>
      <w:tblPr>
        <w:tblW w:w="8220" w:type="dxa"/>
        <w:jc w:val="center"/>
        <w:tblCellMar>
          <w:left w:w="0" w:type="dxa"/>
          <w:right w:w="0" w:type="dxa"/>
        </w:tblCellMar>
        <w:tblLook w:val="04A0" w:firstRow="1" w:lastRow="0" w:firstColumn="1" w:lastColumn="0" w:noHBand="0" w:noVBand="1"/>
      </w:tblPr>
      <w:tblGrid>
        <w:gridCol w:w="2400"/>
        <w:gridCol w:w="1540"/>
        <w:gridCol w:w="1520"/>
        <w:gridCol w:w="1420"/>
        <w:gridCol w:w="1340"/>
      </w:tblGrid>
      <w:tr w:rsidR="00E004D1" w:rsidTr="00E004D1">
        <w:trPr>
          <w:trHeight w:val="288"/>
          <w:jc w:val="center"/>
        </w:trPr>
        <w:tc>
          <w:tcPr>
            <w:tcW w:w="24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Megnevezés</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Vizsgált ingatlan</w:t>
            </w:r>
          </w:p>
        </w:tc>
        <w:tc>
          <w:tcPr>
            <w:tcW w:w="14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épület</w:t>
            </w:r>
          </w:p>
        </w:tc>
        <w:tc>
          <w:tcPr>
            <w:tcW w:w="14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 épület</w:t>
            </w:r>
          </w:p>
        </w:tc>
        <w:tc>
          <w:tcPr>
            <w:tcW w:w="13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 épület</w:t>
            </w:r>
          </w:p>
        </w:tc>
      </w:tr>
      <w:tr w:rsidR="00E004D1" w:rsidTr="00E004D1">
        <w:trPr>
          <w:trHeight w:val="597"/>
          <w:jc w:val="center"/>
        </w:trPr>
        <w:tc>
          <w:tcPr>
            <w:tcW w:w="24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Település</w:t>
            </w: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4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42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 belváros</w:t>
            </w:r>
          </w:p>
        </w:tc>
        <w:tc>
          <w:tcPr>
            <w:tcW w:w="13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 nagyparkoló melletti üzletsor</w:t>
            </w:r>
          </w:p>
        </w:tc>
      </w:tr>
      <w:tr w:rsidR="00E004D1" w:rsidTr="00E004D1">
        <w:trPr>
          <w:trHeight w:val="2880"/>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 </w:t>
            </w:r>
          </w:p>
        </w:tc>
        <w:tc>
          <w:tcPr>
            <w:tcW w:w="15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Üzlethelyiség</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Belvárosi üzletházban üzlethelyiség. Felújított, illemhelyiségekkel.</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Utcai bejáratos, kétszintes üzlethelyiség. Alsó szinten található az üzlet, felső szinten lakás.</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2*57 m2-es üzlethelyiség, mely irodának is alkalmas. A helyiségek egybenyitottak. Vizesblokkal ellátottak, fűtésük gázkonvektor. Egyedi mérőórákkal.</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Hasznos alapterület:</w:t>
            </w:r>
          </w:p>
        </w:tc>
        <w:tc>
          <w:tcPr>
            <w:tcW w:w="15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9</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21</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114</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Építés/felújítás ideje:</w:t>
            </w:r>
          </w:p>
        </w:tc>
        <w:tc>
          <w:tcPr>
            <w:tcW w:w="15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lastRenderedPageBreak/>
              <w:t>Kínálati ár (</w:t>
            </w:r>
            <w:proofErr w:type="spellStart"/>
            <w:r>
              <w:rPr>
                <w:rFonts w:ascii="Arial" w:hAnsi="Arial" w:cs="Arial"/>
                <w:sz w:val="18"/>
                <w:szCs w:val="18"/>
                <w:lang w:eastAsia="hu-HU"/>
              </w:rPr>
              <w:t>eFt</w:t>
            </w:r>
            <w:proofErr w:type="spellEnd"/>
            <w:r>
              <w:rPr>
                <w:rFonts w:ascii="Arial" w:hAnsi="Arial" w:cs="Arial"/>
                <w:sz w:val="18"/>
                <w:szCs w:val="18"/>
                <w:lang w:eastAsia="hu-HU"/>
              </w:rPr>
              <w:t>)</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6 500,0</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22 000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35 000</w:t>
            </w:r>
          </w:p>
        </w:tc>
      </w:tr>
      <w:tr w:rsidR="00E004D1" w:rsidTr="00E004D1">
        <w:trPr>
          <w:trHeight w:val="480"/>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Épület fajlagos alapértéke (Ft):</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309 524</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220 000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307 018</w:t>
            </w:r>
          </w:p>
        </w:tc>
      </w:tr>
      <w:tr w:rsidR="00E004D1" w:rsidTr="00E004D1">
        <w:trPr>
          <w:trHeight w:val="492"/>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Értékmódosító tényezők (%):</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Műszaki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Építészeti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Használati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Telekadottságok: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Infrastruktúra:</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Környezeti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 xml:space="preserve">Alternatív </w:t>
            </w:r>
            <w:proofErr w:type="spellStart"/>
            <w:r>
              <w:rPr>
                <w:rFonts w:ascii="Arial" w:hAnsi="Arial" w:cs="Arial"/>
                <w:color w:val="000000"/>
                <w:sz w:val="18"/>
                <w:szCs w:val="18"/>
                <w:lang w:eastAsia="hu-HU"/>
              </w:rPr>
              <w:t>hasznosatás</w:t>
            </w:r>
            <w:proofErr w:type="spellEnd"/>
            <w:r>
              <w:rPr>
                <w:rFonts w:ascii="Arial" w:hAnsi="Arial" w:cs="Arial"/>
                <w:color w:val="000000"/>
                <w:sz w:val="18"/>
                <w:szCs w:val="18"/>
                <w:lang w:eastAsia="hu-HU"/>
              </w:rPr>
              <w:t>:</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456"/>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Jogi szempontok, hatósági szab.:</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nil"/>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Kínálati ár miatti korrekció:</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42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34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r>
      <w:tr w:rsidR="00E004D1" w:rsidTr="00E004D1">
        <w:trPr>
          <w:trHeight w:val="288"/>
          <w:jc w:val="center"/>
        </w:trPr>
        <w:tc>
          <w:tcPr>
            <w:tcW w:w="2480" w:type="dxa"/>
            <w:tcBorders>
              <w:top w:val="single" w:sz="8" w:space="0" w:color="auto"/>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Összesen:</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r>
      <w:tr w:rsidR="00E004D1" w:rsidTr="00E004D1">
        <w:trPr>
          <w:trHeight w:val="732"/>
          <w:jc w:val="center"/>
        </w:trPr>
        <w:tc>
          <w:tcPr>
            <w:tcW w:w="248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bottom"/>
            <w:hideMark/>
          </w:tcPr>
          <w:p w:rsidR="00E004D1" w:rsidRDefault="00E004D1">
            <w:pPr>
              <w:ind w:firstLine="181"/>
              <w:rPr>
                <w:rFonts w:ascii="Arial" w:hAnsi="Arial" w:cs="Arial"/>
                <w:b/>
                <w:bCs/>
                <w:sz w:val="18"/>
                <w:szCs w:val="18"/>
                <w:lang w:eastAsia="hu-HU"/>
              </w:rPr>
            </w:pPr>
            <w:r>
              <w:rPr>
                <w:rFonts w:ascii="Arial" w:hAnsi="Arial" w:cs="Arial"/>
                <w:b/>
                <w:bCs/>
                <w:sz w:val="18"/>
                <w:szCs w:val="18"/>
                <w:lang w:eastAsia="hu-HU"/>
              </w:rPr>
              <w:t>Módosított (korrigált) átlagos fajlagos érték Ft/m2</w:t>
            </w:r>
          </w:p>
        </w:tc>
        <w:tc>
          <w:tcPr>
            <w:tcW w:w="1540" w:type="dxa"/>
            <w:tcBorders>
              <w:top w:val="nil"/>
              <w:left w:val="nil"/>
              <w:bottom w:val="single" w:sz="8" w:space="0" w:color="auto"/>
              <w:right w:val="single" w:sz="8" w:space="0" w:color="auto"/>
            </w:tcBorders>
            <w:shd w:val="clear" w:color="auto" w:fill="C0C0C0"/>
            <w:noWrap/>
            <w:tcMar>
              <w:top w:w="0" w:type="dxa"/>
              <w:left w:w="70" w:type="dxa"/>
              <w:bottom w:w="0" w:type="dxa"/>
              <w:right w:w="70" w:type="dxa"/>
            </w:tcMar>
            <w:vAlign w:val="bottom"/>
            <w:hideMark/>
          </w:tcPr>
          <w:p w:rsidR="00E004D1" w:rsidRDefault="00E004D1">
            <w:pPr>
              <w:jc w:val="center"/>
              <w:rPr>
                <w:rFonts w:ascii="Arial" w:hAnsi="Arial" w:cs="Arial"/>
                <w:b/>
                <w:bCs/>
                <w:sz w:val="18"/>
                <w:szCs w:val="18"/>
                <w:lang w:eastAsia="hu-HU"/>
              </w:rPr>
            </w:pPr>
            <w:r>
              <w:rPr>
                <w:rFonts w:ascii="Arial" w:hAnsi="Arial" w:cs="Arial"/>
                <w:b/>
                <w:bCs/>
                <w:sz w:val="18"/>
                <w:szCs w:val="18"/>
                <w:lang w:eastAsia="hu-HU"/>
              </w:rPr>
              <w:t>242 597</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269 286</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191 400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267 105</w:t>
            </w:r>
          </w:p>
        </w:tc>
      </w:tr>
      <w:tr w:rsidR="00E004D1" w:rsidTr="00E004D1">
        <w:trPr>
          <w:trHeight w:val="492"/>
          <w:jc w:val="center"/>
        </w:trPr>
        <w:tc>
          <w:tcPr>
            <w:tcW w:w="2480" w:type="dxa"/>
            <w:tcMar>
              <w:top w:w="0" w:type="dxa"/>
              <w:left w:w="70" w:type="dxa"/>
              <w:bottom w:w="0" w:type="dxa"/>
              <w:right w:w="70" w:type="dxa"/>
            </w:tcMar>
            <w:vAlign w:val="bottom"/>
            <w:hideMark/>
          </w:tcPr>
          <w:p w:rsidR="00E004D1" w:rsidRDefault="00E004D1">
            <w:pPr>
              <w:ind w:firstLine="180"/>
              <w:rPr>
                <w:color w:val="000000"/>
                <w:sz w:val="18"/>
                <w:szCs w:val="18"/>
                <w:lang w:eastAsia="hu-HU"/>
              </w:rPr>
            </w:pPr>
            <w:r>
              <w:rPr>
                <w:color w:val="000000"/>
                <w:sz w:val="18"/>
                <w:szCs w:val="18"/>
                <w:lang w:eastAsia="hu-HU"/>
              </w:rPr>
              <w:t>A vizsgált helyiségek becsült forgalmi értéke:</w:t>
            </w:r>
          </w:p>
        </w:tc>
        <w:tc>
          <w:tcPr>
            <w:tcW w:w="1540" w:type="dxa"/>
            <w:noWrap/>
            <w:tcMar>
              <w:top w:w="0" w:type="dxa"/>
              <w:left w:w="70" w:type="dxa"/>
              <w:bottom w:w="0" w:type="dxa"/>
              <w:right w:w="70" w:type="dxa"/>
            </w:tcMar>
            <w:vAlign w:val="bottom"/>
            <w:hideMark/>
          </w:tcPr>
          <w:p w:rsidR="00E004D1" w:rsidRDefault="00E004D1">
            <w:pPr>
              <w:jc w:val="center"/>
              <w:rPr>
                <w:b/>
                <w:bCs/>
                <w:color w:val="000000"/>
                <w:sz w:val="18"/>
                <w:szCs w:val="18"/>
                <w:u w:val="single"/>
                <w:lang w:eastAsia="hu-HU"/>
              </w:rPr>
            </w:pPr>
            <w:r>
              <w:rPr>
                <w:b/>
                <w:bCs/>
                <w:color w:val="000000"/>
                <w:sz w:val="18"/>
                <w:szCs w:val="18"/>
                <w:u w:val="single"/>
                <w:lang w:eastAsia="hu-HU"/>
              </w:rPr>
              <w:t>2 183 373 Ft</w:t>
            </w:r>
          </w:p>
        </w:tc>
        <w:tc>
          <w:tcPr>
            <w:tcW w:w="1440" w:type="dxa"/>
            <w:noWrap/>
            <w:tcMar>
              <w:top w:w="0" w:type="dxa"/>
              <w:left w:w="70" w:type="dxa"/>
              <w:bottom w:w="0" w:type="dxa"/>
              <w:right w:w="70" w:type="dxa"/>
            </w:tcMar>
            <w:vAlign w:val="bottom"/>
            <w:hideMark/>
          </w:tcPr>
          <w:p w:rsidR="00E004D1" w:rsidRDefault="00E004D1">
            <w:pPr>
              <w:rPr>
                <w:b/>
                <w:bCs/>
                <w:color w:val="000000"/>
                <w:sz w:val="18"/>
                <w:szCs w:val="18"/>
                <w:u w:val="single"/>
                <w:lang w:eastAsia="hu-HU"/>
              </w:rPr>
            </w:pPr>
          </w:p>
        </w:tc>
        <w:tc>
          <w:tcPr>
            <w:tcW w:w="142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34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bl>
    <w:p w:rsidR="00E004D1" w:rsidRDefault="00E004D1" w:rsidP="00E004D1">
      <w:pPr>
        <w:rPr>
          <w:rFonts w:ascii="Arial" w:eastAsiaTheme="minorHAnsi" w:hAnsi="Arial" w:cs="Arial"/>
          <w:color w:val="1F497D"/>
          <w:sz w:val="20"/>
          <w:szCs w:val="20"/>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Nettó pótlási költség módszer:</w:t>
      </w:r>
    </w:p>
    <w:tbl>
      <w:tblPr>
        <w:tblW w:w="10077" w:type="dxa"/>
        <w:jc w:val="center"/>
        <w:tblCellMar>
          <w:left w:w="0" w:type="dxa"/>
          <w:right w:w="0" w:type="dxa"/>
        </w:tblCellMar>
        <w:tblLook w:val="04A0" w:firstRow="1" w:lastRow="0" w:firstColumn="1" w:lastColumn="0" w:noHBand="0" w:noVBand="1"/>
      </w:tblPr>
      <w:tblGrid>
        <w:gridCol w:w="3172"/>
        <w:gridCol w:w="2353"/>
        <w:gridCol w:w="1273"/>
        <w:gridCol w:w="1704"/>
        <w:gridCol w:w="1575"/>
      </w:tblGrid>
      <w:tr w:rsidR="00E004D1" w:rsidTr="008337D9">
        <w:trPr>
          <w:trHeight w:val="415"/>
          <w:jc w:val="center"/>
        </w:trPr>
        <w:tc>
          <w:tcPr>
            <w:tcW w:w="3172"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Fabódé:</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8337D9">
        <w:trPr>
          <w:trHeight w:hRule="exact" w:val="284"/>
          <w:jc w:val="center"/>
        </w:trPr>
        <w:tc>
          <w:tcPr>
            <w:tcW w:w="5525" w:type="dxa"/>
            <w:gridSpan w:val="2"/>
            <w:tcBorders>
              <w:top w:val="single" w:sz="8" w:space="0" w:color="auto"/>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Vizsgált ingatlan építési/teljes felújításának ideje:</w:t>
            </w:r>
          </w:p>
        </w:tc>
        <w:tc>
          <w:tcPr>
            <w:tcW w:w="1273" w:type="dxa"/>
            <w:tcBorders>
              <w:top w:val="single" w:sz="8" w:space="0" w:color="auto"/>
              <w:left w:val="nil"/>
              <w:bottom w:val="nil"/>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single" w:sz="8" w:space="0" w:color="auto"/>
              <w:left w:val="nil"/>
              <w:bottom w:val="nil"/>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1 995</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kora (év):</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20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hasznos alapterülete (m2):</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9,00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építéskori várható élettartama (év):</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30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Fajlagos bruttó bekerülési költség (Ft/m2):</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shd w:val="clear" w:color="auto" w:fill="FFFF00"/>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50 000</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Pótlási költség:</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450 000 Ft</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Műszaki avulás (Ft):</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300 000 Ft</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Jelenlegi érték (Ft):</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150 000 Ft</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Korrekciók:</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Környezeti avulás:</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0,00</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 </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Összesen:</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0,00</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Korrigált érték (Ft):</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150 000 Ft</w:t>
            </w:r>
          </w:p>
        </w:tc>
      </w:tr>
    </w:tbl>
    <w:p w:rsidR="00E004D1" w:rsidRDefault="00E004D1" w:rsidP="00E004D1">
      <w:pPr>
        <w:rPr>
          <w:rFonts w:ascii="Arial" w:eastAsiaTheme="minorHAnsi" w:hAnsi="Arial" w:cs="Arial"/>
          <w:b/>
          <w:bCs/>
          <w:color w:val="1F497D"/>
          <w:sz w:val="20"/>
          <w:szCs w:val="20"/>
          <w:u w:val="single"/>
        </w:rPr>
      </w:pPr>
    </w:p>
    <w:p w:rsidR="00E004D1" w:rsidRDefault="00E004D1" w:rsidP="00E004D1">
      <w:pPr>
        <w:rPr>
          <w:rFonts w:ascii="Arial" w:hAnsi="Arial" w:cs="Arial"/>
          <w:b/>
          <w:bCs/>
          <w:color w:val="1F497D"/>
          <w:sz w:val="20"/>
          <w:szCs w:val="20"/>
          <w:u w:val="single"/>
        </w:rPr>
      </w:pPr>
    </w:p>
    <w:p w:rsidR="008337D9" w:rsidRDefault="008337D9" w:rsidP="00E004D1">
      <w:pPr>
        <w:rPr>
          <w:rFonts w:ascii="Arial" w:hAnsi="Arial" w:cs="Arial"/>
          <w:b/>
          <w:bCs/>
          <w:sz w:val="20"/>
          <w:szCs w:val="20"/>
          <w:u w:val="single"/>
        </w:rPr>
      </w:pPr>
    </w:p>
    <w:p w:rsidR="008337D9" w:rsidRDefault="008337D9" w:rsidP="00E004D1">
      <w:pPr>
        <w:rPr>
          <w:rFonts w:ascii="Arial" w:hAnsi="Arial" w:cs="Arial"/>
          <w:b/>
          <w:bCs/>
          <w:sz w:val="20"/>
          <w:szCs w:val="20"/>
          <w:u w:val="single"/>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lastRenderedPageBreak/>
        <w:t>Hozamszámítás módszer:</w:t>
      </w:r>
    </w:p>
    <w:tbl>
      <w:tblPr>
        <w:tblW w:w="9685" w:type="dxa"/>
        <w:tblInd w:w="4" w:type="dxa"/>
        <w:tblCellMar>
          <w:left w:w="0" w:type="dxa"/>
          <w:right w:w="0" w:type="dxa"/>
        </w:tblCellMar>
        <w:tblLook w:val="04A0" w:firstRow="1" w:lastRow="0" w:firstColumn="1" w:lastColumn="0" w:noHBand="0" w:noVBand="1"/>
      </w:tblPr>
      <w:tblGrid>
        <w:gridCol w:w="4395"/>
        <w:gridCol w:w="1465"/>
        <w:gridCol w:w="1520"/>
        <w:gridCol w:w="1162"/>
        <w:gridCol w:w="1143"/>
      </w:tblGrid>
      <w:tr w:rsidR="00E004D1" w:rsidTr="008337D9">
        <w:trPr>
          <w:trHeight w:val="280"/>
        </w:trPr>
        <w:tc>
          <w:tcPr>
            <w:tcW w:w="439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rsidP="00E004D1">
            <w:pPr>
              <w:ind w:firstLine="181"/>
              <w:jc w:val="center"/>
              <w:rPr>
                <w:rFonts w:ascii="Arial" w:hAnsi="Arial" w:cs="Arial"/>
                <w:b/>
                <w:bCs/>
                <w:sz w:val="18"/>
                <w:szCs w:val="18"/>
                <w:u w:val="single"/>
                <w:lang w:eastAsia="hu-HU"/>
              </w:rPr>
            </w:pPr>
            <w:r>
              <w:rPr>
                <w:rFonts w:ascii="Arial" w:hAnsi="Arial" w:cs="Arial"/>
                <w:b/>
                <w:bCs/>
                <w:sz w:val="18"/>
                <w:szCs w:val="18"/>
                <w:u w:val="single"/>
                <w:lang w:eastAsia="hu-HU"/>
              </w:rPr>
              <w:t>Megnevezés</w:t>
            </w:r>
          </w:p>
        </w:tc>
        <w:tc>
          <w:tcPr>
            <w:tcW w:w="14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Vizsgált ingatlan</w:t>
            </w:r>
          </w:p>
        </w:tc>
        <w:tc>
          <w:tcPr>
            <w:tcW w:w="15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épület</w:t>
            </w:r>
          </w:p>
        </w:tc>
        <w:tc>
          <w:tcPr>
            <w:tcW w:w="11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 épület</w:t>
            </w:r>
          </w:p>
        </w:tc>
        <w:tc>
          <w:tcPr>
            <w:tcW w:w="11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3.épület</w:t>
            </w:r>
          </w:p>
        </w:tc>
      </w:tr>
      <w:tr w:rsidR="00E004D1" w:rsidTr="008337D9">
        <w:trPr>
          <w:trHeight w:val="280"/>
        </w:trPr>
        <w:tc>
          <w:tcPr>
            <w:tcW w:w="439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Település</w:t>
            </w:r>
          </w:p>
        </w:tc>
        <w:tc>
          <w:tcPr>
            <w:tcW w:w="146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r>
      <w:tr w:rsidR="00E004D1" w:rsidTr="008337D9">
        <w:trPr>
          <w:trHeight w:val="1637"/>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 </w:t>
            </w:r>
          </w:p>
        </w:tc>
        <w:tc>
          <w:tcPr>
            <w:tcW w:w="1465" w:type="dxa"/>
            <w:tcBorders>
              <w:top w:val="nil"/>
              <w:left w:val="single" w:sz="8" w:space="0" w:color="auto"/>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Üzlethelyiség</w:t>
            </w:r>
          </w:p>
        </w:tc>
        <w:tc>
          <w:tcPr>
            <w:tcW w:w="1520"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Belvárosi üzletházban üzlethelyiség. Felújított, illemhelyiségekkel.</w:t>
            </w:r>
          </w:p>
        </w:tc>
        <w:tc>
          <w:tcPr>
            <w:tcW w:w="1162"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 xml:space="preserve">Üvegportálos, tetőteres </w:t>
            </w:r>
            <w:proofErr w:type="spellStart"/>
            <w:r>
              <w:rPr>
                <w:color w:val="000000"/>
                <w:sz w:val="18"/>
                <w:szCs w:val="18"/>
                <w:lang w:eastAsia="hu-HU"/>
              </w:rPr>
              <w:t>üzlethelyisé</w:t>
            </w:r>
            <w:proofErr w:type="spellEnd"/>
            <w:r>
              <w:rPr>
                <w:color w:val="000000"/>
                <w:sz w:val="18"/>
                <w:szCs w:val="18"/>
                <w:lang w:eastAsia="hu-HU"/>
              </w:rPr>
              <w:t>, előírás szerinti vizes és szociális helyiséggel.</w:t>
            </w:r>
          </w:p>
        </w:tc>
        <w:tc>
          <w:tcPr>
            <w:tcW w:w="1143"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Tófürdőtől 5-6 percnyire található üzlethelyiség.</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Hasznos alapterület:</w:t>
            </w:r>
          </w:p>
        </w:tc>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9</w:t>
            </w:r>
          </w:p>
        </w:tc>
        <w:tc>
          <w:tcPr>
            <w:tcW w:w="15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21</w:t>
            </w:r>
          </w:p>
        </w:tc>
        <w:tc>
          <w:tcPr>
            <w:tcW w:w="11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50</w:t>
            </w:r>
          </w:p>
        </w:tc>
        <w:tc>
          <w:tcPr>
            <w:tcW w:w="11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66</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Teleknagyság*:</w:t>
            </w:r>
          </w:p>
        </w:tc>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Építés/felújítás ideje:</w:t>
            </w:r>
          </w:p>
        </w:tc>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Bérleti díj (kínálati) Ft/hó/m2:</w:t>
            </w:r>
          </w:p>
        </w:tc>
        <w:tc>
          <w:tcPr>
            <w:tcW w:w="1465"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3 809,5</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1 800,0</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1 212</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Értékmódosító tényezők (%):</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Műszaki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Építészeti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Használati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Telekadottságok: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Infrastruktúra:</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Környezeti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 xml:space="preserve">Alternatív </w:t>
            </w:r>
            <w:proofErr w:type="spellStart"/>
            <w:r>
              <w:rPr>
                <w:rFonts w:ascii="Arial" w:hAnsi="Arial" w:cs="Arial"/>
                <w:color w:val="000000"/>
                <w:sz w:val="18"/>
                <w:szCs w:val="18"/>
                <w:lang w:eastAsia="hu-HU"/>
              </w:rPr>
              <w:t>hasznosatás</w:t>
            </w:r>
            <w:proofErr w:type="spellEnd"/>
            <w:r>
              <w:rPr>
                <w:rFonts w:ascii="Arial" w:hAnsi="Arial" w:cs="Arial"/>
                <w:color w:val="000000"/>
                <w:sz w:val="18"/>
                <w:szCs w:val="18"/>
                <w:lang w:eastAsia="hu-HU"/>
              </w:rPr>
              <w:t>:</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Jogi szempontok, hatósági szab.:</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nil"/>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Kínálati ár miatti korrekció:</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162"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143"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r>
      <w:tr w:rsidR="00E004D1" w:rsidTr="008337D9">
        <w:trPr>
          <w:trHeight w:val="280"/>
        </w:trPr>
        <w:tc>
          <w:tcPr>
            <w:tcW w:w="4395" w:type="dxa"/>
            <w:tcBorders>
              <w:top w:val="single" w:sz="8" w:space="0" w:color="auto"/>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Összesen:</w:t>
            </w:r>
          </w:p>
        </w:tc>
        <w:tc>
          <w:tcPr>
            <w:tcW w:w="1465"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r>
      <w:tr w:rsidR="00E004D1" w:rsidTr="008337D9">
        <w:trPr>
          <w:trHeight w:val="479"/>
        </w:trPr>
        <w:tc>
          <w:tcPr>
            <w:tcW w:w="4395"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bottom"/>
            <w:hideMark/>
          </w:tcPr>
          <w:p w:rsidR="00E004D1" w:rsidRDefault="00E004D1">
            <w:pPr>
              <w:ind w:firstLine="181"/>
              <w:rPr>
                <w:rFonts w:ascii="Arial" w:hAnsi="Arial" w:cs="Arial"/>
                <w:b/>
                <w:bCs/>
                <w:sz w:val="18"/>
                <w:szCs w:val="18"/>
                <w:lang w:eastAsia="hu-HU"/>
              </w:rPr>
            </w:pPr>
            <w:r>
              <w:rPr>
                <w:rFonts w:ascii="Arial" w:hAnsi="Arial" w:cs="Arial"/>
                <w:b/>
                <w:bCs/>
                <w:sz w:val="18"/>
                <w:szCs w:val="18"/>
                <w:lang w:eastAsia="hu-HU"/>
              </w:rPr>
              <w:t>Módosított (korrigált)  fajlagos bérleti díj Ft/hó/m2</w:t>
            </w:r>
          </w:p>
        </w:tc>
        <w:tc>
          <w:tcPr>
            <w:tcW w:w="1465" w:type="dxa"/>
            <w:tcBorders>
              <w:top w:val="nil"/>
              <w:left w:val="nil"/>
              <w:bottom w:val="single" w:sz="8" w:space="0" w:color="auto"/>
              <w:right w:val="single" w:sz="8" w:space="0" w:color="auto"/>
            </w:tcBorders>
            <w:shd w:val="clear" w:color="auto" w:fill="C0C0C0"/>
            <w:noWrap/>
            <w:tcMar>
              <w:top w:w="0" w:type="dxa"/>
              <w:left w:w="70" w:type="dxa"/>
              <w:bottom w:w="0" w:type="dxa"/>
              <w:right w:w="70" w:type="dxa"/>
            </w:tcMar>
            <w:vAlign w:val="bottom"/>
            <w:hideMark/>
          </w:tcPr>
          <w:p w:rsidR="00E004D1" w:rsidRDefault="00E004D1">
            <w:pPr>
              <w:jc w:val="center"/>
              <w:rPr>
                <w:rFonts w:ascii="Arial" w:hAnsi="Arial" w:cs="Arial"/>
                <w:b/>
                <w:bCs/>
                <w:sz w:val="18"/>
                <w:szCs w:val="18"/>
                <w:lang w:eastAsia="hu-HU"/>
              </w:rPr>
            </w:pPr>
            <w:r>
              <w:rPr>
                <w:rFonts w:ascii="Arial" w:hAnsi="Arial" w:cs="Arial"/>
                <w:b/>
                <w:bCs/>
                <w:sz w:val="18"/>
                <w:szCs w:val="18"/>
                <w:lang w:eastAsia="hu-HU"/>
              </w:rPr>
              <w:t>1 978</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3 314</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1 566</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1 055</w:t>
            </w:r>
          </w:p>
        </w:tc>
      </w:tr>
      <w:tr w:rsidR="00E004D1" w:rsidTr="008337D9">
        <w:trPr>
          <w:trHeight w:val="280"/>
        </w:trPr>
        <w:tc>
          <w:tcPr>
            <w:tcW w:w="4395"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Éves bevétel (4 hónap üzemeléssel számítva):</w:t>
            </w:r>
          </w:p>
        </w:tc>
        <w:tc>
          <w:tcPr>
            <w:tcW w:w="1465" w:type="dxa"/>
            <w:noWrap/>
            <w:tcMar>
              <w:top w:w="0" w:type="dxa"/>
              <w:left w:w="70" w:type="dxa"/>
              <w:bottom w:w="0" w:type="dxa"/>
              <w:right w:w="70" w:type="dxa"/>
            </w:tcMar>
            <w:vAlign w:val="bottom"/>
            <w:hideMark/>
          </w:tcPr>
          <w:p w:rsidR="00E004D1" w:rsidRDefault="00E004D1">
            <w:pPr>
              <w:jc w:val="right"/>
              <w:rPr>
                <w:b/>
                <w:bCs/>
                <w:color w:val="000000"/>
                <w:sz w:val="18"/>
                <w:szCs w:val="18"/>
                <w:lang w:eastAsia="hu-HU"/>
              </w:rPr>
            </w:pPr>
            <w:r>
              <w:rPr>
                <w:b/>
                <w:bCs/>
                <w:color w:val="000000"/>
                <w:sz w:val="18"/>
                <w:szCs w:val="18"/>
                <w:lang w:eastAsia="hu-HU"/>
              </w:rPr>
              <w:t>71 218 Ft</w:t>
            </w:r>
          </w:p>
        </w:tc>
        <w:tc>
          <w:tcPr>
            <w:tcW w:w="1520" w:type="dxa"/>
            <w:noWrap/>
            <w:tcMar>
              <w:top w:w="0" w:type="dxa"/>
              <w:left w:w="70" w:type="dxa"/>
              <w:bottom w:w="0" w:type="dxa"/>
              <w:right w:w="70" w:type="dxa"/>
            </w:tcMar>
            <w:vAlign w:val="bottom"/>
            <w:hideMark/>
          </w:tcPr>
          <w:p w:rsidR="00E004D1" w:rsidRDefault="00E004D1">
            <w:pPr>
              <w:rPr>
                <w:b/>
                <w:bCs/>
                <w:color w:val="000000"/>
                <w:sz w:val="18"/>
                <w:szCs w:val="18"/>
                <w:lang w:eastAsia="hu-HU"/>
              </w:rPr>
            </w:pPr>
          </w:p>
        </w:tc>
        <w:tc>
          <w:tcPr>
            <w:tcW w:w="116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14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8337D9">
        <w:trPr>
          <w:trHeight w:val="280"/>
        </w:trPr>
        <w:tc>
          <w:tcPr>
            <w:tcW w:w="4395" w:type="dxa"/>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Havi</w:t>
            </w:r>
          </w:p>
        </w:tc>
        <w:tc>
          <w:tcPr>
            <w:tcW w:w="1465"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5 935</w:t>
            </w:r>
          </w:p>
        </w:tc>
        <w:tc>
          <w:tcPr>
            <w:tcW w:w="1520" w:type="dxa"/>
            <w:noWrap/>
            <w:tcMar>
              <w:top w:w="0" w:type="dxa"/>
              <w:left w:w="70" w:type="dxa"/>
              <w:bottom w:w="0" w:type="dxa"/>
              <w:right w:w="70" w:type="dxa"/>
            </w:tcMar>
            <w:vAlign w:val="bottom"/>
            <w:hideMark/>
          </w:tcPr>
          <w:p w:rsidR="00E004D1" w:rsidRDefault="00E004D1">
            <w:pPr>
              <w:rPr>
                <w:color w:val="000000"/>
                <w:lang w:eastAsia="hu-HU"/>
              </w:rPr>
            </w:pPr>
          </w:p>
        </w:tc>
        <w:tc>
          <w:tcPr>
            <w:tcW w:w="116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14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bl>
    <w:p w:rsidR="00E004D1" w:rsidRDefault="00E004D1" w:rsidP="00E004D1">
      <w:pPr>
        <w:rPr>
          <w:rFonts w:ascii="Arial" w:eastAsiaTheme="minorHAnsi" w:hAnsi="Arial" w:cs="Arial"/>
          <w:b/>
          <w:bCs/>
          <w:color w:val="1F497D"/>
          <w:sz w:val="20"/>
          <w:szCs w:val="20"/>
          <w:u w:val="single"/>
        </w:rPr>
      </w:pPr>
    </w:p>
    <w:tbl>
      <w:tblPr>
        <w:tblW w:w="7040" w:type="dxa"/>
        <w:tblCellMar>
          <w:left w:w="0" w:type="dxa"/>
          <w:right w:w="0" w:type="dxa"/>
        </w:tblCellMar>
        <w:tblLook w:val="04A0" w:firstRow="1" w:lastRow="0" w:firstColumn="1" w:lastColumn="0" w:noHBand="0" w:noVBand="1"/>
      </w:tblPr>
      <w:tblGrid>
        <w:gridCol w:w="3820"/>
        <w:gridCol w:w="1408"/>
        <w:gridCol w:w="1812"/>
      </w:tblGrid>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ind w:firstLine="220"/>
              <w:rPr>
                <w:color w:val="000000"/>
                <w:lang w:eastAsia="hu-HU"/>
              </w:rPr>
            </w:pPr>
          </w:p>
          <w:p w:rsidR="00E004D1" w:rsidRDefault="00E004D1">
            <w:pPr>
              <w:ind w:firstLine="220"/>
              <w:rPr>
                <w:color w:val="000000"/>
                <w:lang w:eastAsia="hu-HU"/>
              </w:rPr>
            </w:pPr>
          </w:p>
          <w:p w:rsidR="00E004D1" w:rsidRDefault="00E004D1">
            <w:pPr>
              <w:ind w:firstLine="220"/>
              <w:rPr>
                <w:color w:val="000000"/>
                <w:lang w:eastAsia="hu-HU"/>
              </w:rPr>
            </w:pPr>
          </w:p>
          <w:p w:rsidR="00E004D1" w:rsidRDefault="00E004D1">
            <w:pPr>
              <w:ind w:firstLine="220"/>
              <w:rPr>
                <w:color w:val="000000"/>
                <w:lang w:eastAsia="hu-HU"/>
              </w:rPr>
            </w:pPr>
            <w:r>
              <w:rPr>
                <w:color w:val="000000"/>
                <w:lang w:eastAsia="hu-HU"/>
              </w:rPr>
              <w:lastRenderedPageBreak/>
              <w:t>Üzlethelyiség</w:t>
            </w:r>
          </w:p>
        </w:tc>
        <w:tc>
          <w:tcPr>
            <w:tcW w:w="3220" w:type="dxa"/>
            <w:gridSpan w:val="2"/>
            <w:noWrap/>
            <w:tcMar>
              <w:top w:w="0" w:type="dxa"/>
              <w:left w:w="70" w:type="dxa"/>
              <w:bottom w:w="0" w:type="dxa"/>
              <w:right w:w="70" w:type="dxa"/>
            </w:tcMar>
            <w:vAlign w:val="center"/>
            <w:hideMark/>
          </w:tcPr>
          <w:p w:rsidR="00E004D1" w:rsidRDefault="00E004D1">
            <w:pPr>
              <w:rPr>
                <w:color w:val="000000"/>
                <w:lang w:eastAsia="hu-HU"/>
              </w:rPr>
            </w:pPr>
          </w:p>
        </w:tc>
      </w:tr>
      <w:tr w:rsidR="00E004D1" w:rsidTr="008337D9">
        <w:trPr>
          <w:trHeight w:hRule="exact" w:val="397"/>
        </w:trPr>
        <w:tc>
          <w:tcPr>
            <w:tcW w:w="38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lastRenderedPageBreak/>
              <w:t> </w:t>
            </w:r>
          </w:p>
        </w:tc>
        <w:tc>
          <w:tcPr>
            <w:tcW w:w="140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Mennyiség</w:t>
            </w:r>
          </w:p>
        </w:tc>
        <w:tc>
          <w:tcPr>
            <w:tcW w:w="181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Mértékegység</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Bevétel</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71 218</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Építményadó:</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-5 400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Fenntartási költség:</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-15 000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Jövedelem:</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50 818</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Direkt tőkésítési ráta:</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3,50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Korrigált valós piaci érték:</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1 451 942</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w:t>
            </w:r>
          </w:p>
        </w:tc>
      </w:tr>
      <w:tr w:rsidR="00E004D1" w:rsidTr="008337D9">
        <w:trPr>
          <w:trHeight w:hRule="exact" w:val="397"/>
        </w:trPr>
        <w:tc>
          <w:tcPr>
            <w:tcW w:w="3820"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Fajlagos érték:</w:t>
            </w:r>
          </w:p>
        </w:tc>
        <w:tc>
          <w:tcPr>
            <w:tcW w:w="1408"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161 327</w:t>
            </w:r>
          </w:p>
        </w:tc>
        <w:tc>
          <w:tcPr>
            <w:tcW w:w="1812" w:type="dxa"/>
            <w:noWrap/>
            <w:tcMar>
              <w:top w:w="0" w:type="dxa"/>
              <w:left w:w="70" w:type="dxa"/>
              <w:bottom w:w="0" w:type="dxa"/>
              <w:right w:w="70" w:type="dxa"/>
            </w:tcMar>
            <w:vAlign w:val="bottom"/>
            <w:hideMark/>
          </w:tcPr>
          <w:p w:rsidR="00E004D1" w:rsidRDefault="00E004D1">
            <w:pPr>
              <w:rPr>
                <w:color w:val="000000"/>
                <w:lang w:eastAsia="hu-HU"/>
              </w:rPr>
            </w:pPr>
          </w:p>
        </w:tc>
      </w:tr>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408"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81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Legjobb EBKM 2015</w:t>
            </w:r>
            <w:r>
              <w:rPr>
                <w:color w:val="1F497D"/>
                <w:lang w:eastAsia="hu-HU"/>
              </w:rPr>
              <w:t>.03</w:t>
            </w:r>
          </w:p>
        </w:tc>
        <w:tc>
          <w:tcPr>
            <w:tcW w:w="1408"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3,50%</w:t>
            </w:r>
          </w:p>
        </w:tc>
        <w:tc>
          <w:tcPr>
            <w:tcW w:w="1812" w:type="dxa"/>
            <w:noWrap/>
            <w:tcMar>
              <w:top w:w="0" w:type="dxa"/>
              <w:left w:w="70" w:type="dxa"/>
              <w:bottom w:w="0" w:type="dxa"/>
              <w:right w:w="70" w:type="dxa"/>
            </w:tcMar>
            <w:vAlign w:val="bottom"/>
            <w:hideMark/>
          </w:tcPr>
          <w:p w:rsidR="00E004D1" w:rsidRDefault="00E004D1">
            <w:pPr>
              <w:rPr>
                <w:color w:val="000000"/>
                <w:lang w:eastAsia="hu-HU"/>
              </w:rPr>
            </w:pPr>
          </w:p>
        </w:tc>
      </w:tr>
    </w:tbl>
    <w:p w:rsidR="00E004D1" w:rsidRDefault="00E004D1" w:rsidP="00E004D1">
      <w:pPr>
        <w:rPr>
          <w:rFonts w:ascii="Arial" w:eastAsiaTheme="minorHAnsi" w:hAnsi="Arial" w:cs="Arial"/>
          <w:b/>
          <w:bCs/>
          <w:color w:val="1F497D"/>
          <w:sz w:val="20"/>
          <w:szCs w:val="20"/>
          <w:u w:val="single"/>
        </w:rPr>
      </w:pPr>
    </w:p>
    <w:p w:rsidR="00E004D1" w:rsidRDefault="00E004D1" w:rsidP="00E004D1">
      <w:pPr>
        <w:rPr>
          <w:rFonts w:ascii="Arial" w:hAnsi="Arial" w:cs="Arial"/>
          <w:b/>
          <w:bCs/>
          <w:color w:val="1F497D"/>
          <w:sz w:val="20"/>
          <w:szCs w:val="20"/>
          <w:u w:val="single"/>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Összesítés:</w:t>
      </w:r>
    </w:p>
    <w:p w:rsidR="00E004D1" w:rsidRDefault="00E004D1" w:rsidP="00E004D1">
      <w:pPr>
        <w:rPr>
          <w:rFonts w:ascii="Arial" w:hAnsi="Arial" w:cs="Arial"/>
          <w:b/>
          <w:bCs/>
          <w:color w:val="1F497D"/>
          <w:sz w:val="20"/>
          <w:szCs w:val="20"/>
          <w:u w:val="single"/>
        </w:rPr>
      </w:pPr>
    </w:p>
    <w:tbl>
      <w:tblPr>
        <w:tblW w:w="8312" w:type="dxa"/>
        <w:jc w:val="center"/>
        <w:tblCellMar>
          <w:left w:w="0" w:type="dxa"/>
          <w:right w:w="0" w:type="dxa"/>
        </w:tblCellMar>
        <w:tblLook w:val="04A0" w:firstRow="1" w:lastRow="0" w:firstColumn="1" w:lastColumn="0" w:noHBand="0" w:noVBand="1"/>
      </w:tblPr>
      <w:tblGrid>
        <w:gridCol w:w="3460"/>
        <w:gridCol w:w="2052"/>
        <w:gridCol w:w="1140"/>
        <w:gridCol w:w="1660"/>
      </w:tblGrid>
      <w:tr w:rsidR="00E004D1" w:rsidTr="008337D9">
        <w:trPr>
          <w:trHeight w:hRule="exact" w:val="397"/>
          <w:jc w:val="center"/>
        </w:trPr>
        <w:tc>
          <w:tcPr>
            <w:tcW w:w="3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Fabódé</w:t>
            </w:r>
          </w:p>
        </w:tc>
        <w:tc>
          <w:tcPr>
            <w:tcW w:w="2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1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6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r>
      <w:tr w:rsidR="00E004D1" w:rsidTr="008337D9">
        <w:trPr>
          <w:trHeight w:hRule="exact" w:val="397"/>
          <w:jc w:val="center"/>
        </w:trPr>
        <w:tc>
          <w:tcPr>
            <w:tcW w:w="3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 </w:t>
            </w:r>
          </w:p>
        </w:tc>
        <w:tc>
          <w:tcPr>
            <w:tcW w:w="2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Becsült forgalmi érték:</w:t>
            </w:r>
          </w:p>
        </w:tc>
        <w:tc>
          <w:tcPr>
            <w:tcW w:w="11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Súlyszám:</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Súlyozott érték:</w:t>
            </w:r>
          </w:p>
        </w:tc>
      </w:tr>
      <w:tr w:rsidR="00E004D1" w:rsidTr="008337D9">
        <w:trPr>
          <w:trHeight w:hRule="exact" w:val="397"/>
          <w:jc w:val="center"/>
        </w:trPr>
        <w:tc>
          <w:tcPr>
            <w:tcW w:w="3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Piaci összehasonlító adatok:</w:t>
            </w:r>
          </w:p>
        </w:tc>
        <w:tc>
          <w:tcPr>
            <w:tcW w:w="2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2 183 373 Ft</w:t>
            </w:r>
          </w:p>
        </w:tc>
        <w:tc>
          <w:tcPr>
            <w:tcW w:w="11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727 791 Ft</w:t>
            </w:r>
          </w:p>
        </w:tc>
      </w:tr>
      <w:tr w:rsidR="00E004D1" w:rsidTr="008337D9">
        <w:trPr>
          <w:trHeight w:hRule="exact" w:val="397"/>
          <w:jc w:val="center"/>
        </w:trPr>
        <w:tc>
          <w:tcPr>
            <w:tcW w:w="3460"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Hozamszámítás módszer:</w:t>
            </w:r>
          </w:p>
        </w:tc>
        <w:tc>
          <w:tcPr>
            <w:tcW w:w="2052" w:type="dxa"/>
            <w:tcBorders>
              <w:top w:val="nil"/>
              <w:left w:val="nil"/>
              <w:bottom w:val="nil"/>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1 451 942 Ft</w:t>
            </w:r>
          </w:p>
        </w:tc>
        <w:tc>
          <w:tcPr>
            <w:tcW w:w="1140" w:type="dxa"/>
            <w:tcBorders>
              <w:top w:val="nil"/>
              <w:left w:val="nil"/>
              <w:bottom w:val="nil"/>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483 981 Ft</w:t>
            </w:r>
          </w:p>
        </w:tc>
      </w:tr>
      <w:tr w:rsidR="00E004D1" w:rsidTr="008337D9">
        <w:trPr>
          <w:trHeight w:hRule="exact" w:val="397"/>
          <w:jc w:val="center"/>
        </w:trPr>
        <w:tc>
          <w:tcPr>
            <w:tcW w:w="346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Nettó pótlási költség módszer:</w:t>
            </w:r>
          </w:p>
        </w:tc>
        <w:tc>
          <w:tcPr>
            <w:tcW w:w="2052"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150 000 Ft</w:t>
            </w:r>
          </w:p>
        </w:tc>
        <w:tc>
          <w:tcPr>
            <w:tcW w:w="1140"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50 000 Ft</w:t>
            </w:r>
          </w:p>
        </w:tc>
      </w:tr>
      <w:tr w:rsidR="00E004D1" w:rsidTr="008337D9">
        <w:trPr>
          <w:trHeight w:hRule="exact" w:val="397"/>
          <w:jc w:val="center"/>
        </w:trPr>
        <w:tc>
          <w:tcPr>
            <w:tcW w:w="3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Becsült forgalmi érték:</w:t>
            </w:r>
          </w:p>
        </w:tc>
        <w:tc>
          <w:tcPr>
            <w:tcW w:w="2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1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1 261 772 Ft</w:t>
            </w:r>
          </w:p>
        </w:tc>
      </w:tr>
      <w:tr w:rsidR="00E004D1" w:rsidTr="008337D9">
        <w:trPr>
          <w:trHeight w:hRule="exact" w:val="397"/>
          <w:jc w:val="center"/>
        </w:trPr>
        <w:tc>
          <w:tcPr>
            <w:tcW w:w="346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1"/>
              <w:rPr>
                <w:b/>
                <w:bCs/>
                <w:color w:val="000000"/>
                <w:u w:val="single"/>
                <w:lang w:eastAsia="hu-HU"/>
              </w:rPr>
            </w:pPr>
            <w:r>
              <w:rPr>
                <w:b/>
                <w:bCs/>
                <w:color w:val="000000"/>
                <w:u w:val="single"/>
                <w:lang w:eastAsia="hu-HU"/>
              </w:rPr>
              <w:t>Becsült forgalmi érték kerekítve:</w:t>
            </w:r>
          </w:p>
        </w:tc>
        <w:tc>
          <w:tcPr>
            <w:tcW w:w="2052"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b/>
                <w:bCs/>
                <w:color w:val="000000"/>
                <w:u w:val="single"/>
                <w:lang w:eastAsia="hu-HU"/>
              </w:rPr>
            </w:pPr>
            <w:r>
              <w:rPr>
                <w:b/>
                <w:bCs/>
                <w:color w:val="000000"/>
                <w:u w:val="single"/>
                <w:lang w:eastAsia="hu-HU"/>
              </w:rPr>
              <w:t> </w:t>
            </w:r>
          </w:p>
        </w:tc>
        <w:tc>
          <w:tcPr>
            <w:tcW w:w="1140"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 </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1 200 000 Ft</w:t>
            </w:r>
          </w:p>
        </w:tc>
      </w:tr>
    </w:tbl>
    <w:p w:rsidR="00E004D1" w:rsidRDefault="00E004D1" w:rsidP="00E004D1">
      <w:pPr>
        <w:rPr>
          <w:rFonts w:ascii="Arial" w:eastAsiaTheme="minorHAnsi" w:hAnsi="Arial" w:cs="Arial"/>
          <w:b/>
          <w:bCs/>
          <w:color w:val="1F497D"/>
          <w:sz w:val="20"/>
          <w:szCs w:val="20"/>
          <w:u w:val="single"/>
        </w:rPr>
      </w:pPr>
    </w:p>
    <w:p w:rsidR="00E004D1" w:rsidRDefault="00E004D1" w:rsidP="008E2138">
      <w:pPr>
        <w:jc w:val="center"/>
        <w:rPr>
          <w:rFonts w:ascii="Arial" w:hAnsi="Arial" w:cs="Arial"/>
          <w:b/>
          <w:sz w:val="24"/>
          <w:szCs w:val="24"/>
        </w:rPr>
      </w:pPr>
      <w:r>
        <w:rPr>
          <w:rFonts w:ascii="Arial" w:hAnsi="Arial" w:cs="Arial"/>
          <w:b/>
          <w:noProof/>
          <w:sz w:val="24"/>
          <w:szCs w:val="24"/>
          <w:lang w:eastAsia="hu-HU"/>
        </w:rPr>
        <w:drawing>
          <wp:inline distT="0" distB="0" distL="0" distR="0">
            <wp:extent cx="2401200" cy="1440000"/>
            <wp:effectExtent l="0" t="0" r="0" b="8255"/>
            <wp:docPr id="4" name="Kép 4" descr="H:\Documents\2015\Bódé\IMG_20150305_1233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2015\Bódé\IMG_20150305_12333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5" name="Kép 5" descr="H:\Documents\2015\Bódé\IMG_20150305_123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ocuments\2015\Bódé\IMG_20150305_12334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6" name="Kép 6" descr="H:\Documents\2015\Bódé\IMG_20150305_123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ocuments\2015\Bódé\IMG_20150305_12340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7" name="Kép 7" descr="H:\Documents\2015\Bódé\IMG_20150305_123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ocuments\2015\Bódé\IMG_20150305_12342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p>
    <w:p w:rsidR="008E2138" w:rsidRPr="00956A7D" w:rsidRDefault="00E004D1" w:rsidP="00285EDB">
      <w:pPr>
        <w:spacing w:after="160" w:line="259" w:lineRule="auto"/>
        <w:jc w:val="center"/>
        <w:rPr>
          <w:rFonts w:ascii="Arial" w:hAnsi="Arial" w:cs="Arial"/>
          <w:b/>
          <w:sz w:val="24"/>
          <w:szCs w:val="24"/>
        </w:rPr>
      </w:pPr>
      <w:r>
        <w:rPr>
          <w:rFonts w:ascii="Arial" w:hAnsi="Arial" w:cs="Arial"/>
          <w:b/>
          <w:sz w:val="24"/>
          <w:szCs w:val="24"/>
        </w:rPr>
        <w:br w:type="page"/>
      </w:r>
      <w:r w:rsidR="008E2138" w:rsidRPr="00956A7D">
        <w:rPr>
          <w:rFonts w:ascii="Arial" w:hAnsi="Arial" w:cs="Arial"/>
          <w:b/>
          <w:sz w:val="24"/>
          <w:szCs w:val="24"/>
        </w:rPr>
        <w:lastRenderedPageBreak/>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1137F8" w:rsidRDefault="00C610AA" w:rsidP="004C6D25">
            <w:pPr>
              <w:spacing w:after="0" w:line="240" w:lineRule="auto"/>
              <w:rPr>
                <w:rFonts w:ascii="Arial" w:hAnsi="Arial" w:cs="Arial"/>
                <w:sz w:val="24"/>
                <w:szCs w:val="24"/>
              </w:rPr>
            </w:pPr>
            <w:r w:rsidRPr="001137F8">
              <w:rPr>
                <w:rFonts w:ascii="Arial" w:hAnsi="Arial" w:cs="Arial"/>
                <w:sz w:val="24"/>
                <w:szCs w:val="24"/>
              </w:rPr>
              <w:t>Babics Tamás</w:t>
            </w:r>
          </w:p>
        </w:tc>
        <w:tc>
          <w:tcPr>
            <w:tcW w:w="2483" w:type="dxa"/>
            <w:vAlign w:val="center"/>
          </w:tcPr>
          <w:p w:rsidR="008E2138" w:rsidRPr="001137F8" w:rsidRDefault="00C610AA" w:rsidP="004C6D25">
            <w:pPr>
              <w:spacing w:after="0" w:line="240" w:lineRule="auto"/>
              <w:rPr>
                <w:rFonts w:ascii="Arial" w:hAnsi="Arial" w:cs="Arial"/>
                <w:sz w:val="24"/>
                <w:szCs w:val="24"/>
              </w:rPr>
            </w:pPr>
            <w:r w:rsidRPr="001137F8">
              <w:rPr>
                <w:rFonts w:ascii="Arial" w:hAnsi="Arial" w:cs="Arial"/>
                <w:sz w:val="24"/>
                <w:szCs w:val="24"/>
              </w:rPr>
              <w:t>osztályvezető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Dr. Márkus Mirtill</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aljegyző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1137F8" w:rsidRDefault="006825E7" w:rsidP="004C6D25">
            <w:pPr>
              <w:spacing w:after="0" w:line="240" w:lineRule="auto"/>
              <w:rPr>
                <w:rFonts w:ascii="Arial" w:hAnsi="Arial" w:cs="Arial"/>
                <w:sz w:val="24"/>
                <w:szCs w:val="24"/>
              </w:rPr>
            </w:pPr>
            <w:r w:rsidRPr="001137F8">
              <w:rPr>
                <w:rFonts w:ascii="Arial" w:hAnsi="Arial" w:cs="Arial"/>
                <w:sz w:val="24"/>
                <w:szCs w:val="24"/>
              </w:rPr>
              <w:t>Szintén László</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1137F8" w:rsidRDefault="008E2138" w:rsidP="004C6D25">
            <w:pPr>
              <w:spacing w:after="0" w:line="240" w:lineRule="auto"/>
              <w:jc w:val="center"/>
              <w:rPr>
                <w:rFonts w:ascii="Arial" w:hAnsi="Arial" w:cs="Arial"/>
                <w:sz w:val="24"/>
                <w:szCs w:val="24"/>
              </w:rPr>
            </w:pP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egyeztetési kötelezettség</w:t>
            </w:r>
          </w:p>
          <w:p w:rsidR="008E2138" w:rsidRPr="001137F8" w:rsidRDefault="008E2138" w:rsidP="004C6D25">
            <w:pPr>
              <w:spacing w:after="0" w:line="240" w:lineRule="auto"/>
              <w:rPr>
                <w:rFonts w:ascii="Arial" w:hAnsi="Arial" w:cs="Arial"/>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dr. Tüske Róbert</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 xml:space="preserve">törvényességi felülvizsgálat </w:t>
            </w:r>
          </w:p>
          <w:p w:rsidR="008E2138" w:rsidRPr="001137F8" w:rsidRDefault="008E2138" w:rsidP="004C6D25">
            <w:pPr>
              <w:spacing w:after="0" w:line="240" w:lineRule="auto"/>
              <w:rPr>
                <w:rFonts w:ascii="Arial" w:hAnsi="Arial" w:cs="Arial"/>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8CB0484"/>
    <w:multiLevelType w:val="hybridMultilevel"/>
    <w:tmpl w:val="60783EE4"/>
    <w:lvl w:ilvl="0" w:tplc="003682C6">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79847C94"/>
    <w:multiLevelType w:val="hybridMultilevel"/>
    <w:tmpl w:val="0068D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B3A05"/>
    <w:rsid w:val="000D1C3C"/>
    <w:rsid w:val="00103C48"/>
    <w:rsid w:val="001137F8"/>
    <w:rsid w:val="0016652D"/>
    <w:rsid w:val="00201002"/>
    <w:rsid w:val="00285EDB"/>
    <w:rsid w:val="00293013"/>
    <w:rsid w:val="002A29B3"/>
    <w:rsid w:val="002C1A79"/>
    <w:rsid w:val="002F6341"/>
    <w:rsid w:val="003E207C"/>
    <w:rsid w:val="004036ED"/>
    <w:rsid w:val="004133DB"/>
    <w:rsid w:val="00480514"/>
    <w:rsid w:val="004C1EB3"/>
    <w:rsid w:val="004D0A8C"/>
    <w:rsid w:val="00576939"/>
    <w:rsid w:val="00581AAB"/>
    <w:rsid w:val="005D5565"/>
    <w:rsid w:val="006761B6"/>
    <w:rsid w:val="006825E7"/>
    <w:rsid w:val="006A3E95"/>
    <w:rsid w:val="006E2BD9"/>
    <w:rsid w:val="008337D9"/>
    <w:rsid w:val="008A0276"/>
    <w:rsid w:val="008E2138"/>
    <w:rsid w:val="008E5D9C"/>
    <w:rsid w:val="00925B23"/>
    <w:rsid w:val="00937743"/>
    <w:rsid w:val="00953137"/>
    <w:rsid w:val="009C3B24"/>
    <w:rsid w:val="009D19D7"/>
    <w:rsid w:val="00B728BF"/>
    <w:rsid w:val="00C610AA"/>
    <w:rsid w:val="00C957E0"/>
    <w:rsid w:val="00D37042"/>
    <w:rsid w:val="00DC02B2"/>
    <w:rsid w:val="00DF15FD"/>
    <w:rsid w:val="00E004D1"/>
    <w:rsid w:val="00E35C1F"/>
    <w:rsid w:val="00EE250C"/>
    <w:rsid w:val="00F27CBE"/>
    <w:rsid w:val="00F51C73"/>
    <w:rsid w:val="00F66CDB"/>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styleId="Hiperhivatkozs">
    <w:name w:val="Hyperlink"/>
    <w:basedOn w:val="Bekezdsalapbettpusa"/>
    <w:uiPriority w:val="99"/>
    <w:semiHidden/>
    <w:unhideWhenUsed/>
    <w:rsid w:val="00E004D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3218">
      <w:bodyDiv w:val="1"/>
      <w:marLeft w:val="0"/>
      <w:marRight w:val="0"/>
      <w:marTop w:val="0"/>
      <w:marBottom w:val="0"/>
      <w:divBdr>
        <w:top w:val="none" w:sz="0" w:space="0" w:color="auto"/>
        <w:left w:val="none" w:sz="0" w:space="0" w:color="auto"/>
        <w:bottom w:val="none" w:sz="0" w:space="0" w:color="auto"/>
        <w:right w:val="none" w:sz="0" w:space="0" w:color="auto"/>
      </w:divBdr>
    </w:div>
    <w:div w:id="1603806719">
      <w:bodyDiv w:val="1"/>
      <w:marLeft w:val="0"/>
      <w:marRight w:val="0"/>
      <w:marTop w:val="0"/>
      <w:marBottom w:val="0"/>
      <w:divBdr>
        <w:top w:val="none" w:sz="0" w:space="0" w:color="auto"/>
        <w:left w:val="none" w:sz="0" w:space="0" w:color="auto"/>
        <w:bottom w:val="none" w:sz="0" w:space="0" w:color="auto"/>
        <w:right w:val="none" w:sz="0" w:space="0" w:color="auto"/>
      </w:divBdr>
    </w:div>
    <w:div w:id="169908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atla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TIF"/><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jpeg"/><Relationship Id="rId5" Type="http://schemas.openxmlformats.org/officeDocument/2006/relationships/image" Target="media/image1.wmf"/><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1199</Words>
  <Characters>8274</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3</cp:revision>
  <dcterms:created xsi:type="dcterms:W3CDTF">2015-03-13T11:07:00Z</dcterms:created>
  <dcterms:modified xsi:type="dcterms:W3CDTF">2015-03-20T10:35:00Z</dcterms:modified>
</cp:coreProperties>
</file>