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E9" w:rsidRPr="00D70AEB" w:rsidRDefault="00C773E9" w:rsidP="00D5533E">
      <w:pPr>
        <w:tabs>
          <w:tab w:val="left" w:pos="2010"/>
        </w:tabs>
        <w:jc w:val="center"/>
        <w:rPr>
          <w:b/>
          <w:sz w:val="24"/>
        </w:rPr>
      </w:pPr>
      <w:r w:rsidRPr="00D70AEB">
        <w:rPr>
          <w:b/>
          <w:sz w:val="24"/>
        </w:rPr>
        <w:t>Neuzer Kft. ajánlata elfogadásának alátámasztása</w:t>
      </w:r>
    </w:p>
    <w:p w:rsidR="00C773E9" w:rsidRPr="00D70AEB" w:rsidRDefault="00C773E9" w:rsidP="00D5533E">
      <w:pPr>
        <w:spacing w:after="120" w:line="240" w:lineRule="auto"/>
        <w:jc w:val="both"/>
      </w:pPr>
      <w:r w:rsidRPr="00D70AEB">
        <w:t>A Bíráló Bizottság a Neuzer Kft ajánlatát BB ülés keretében értékelte.</w:t>
      </w:r>
    </w:p>
    <w:p w:rsidR="00C773E9" w:rsidRPr="00D70AEB" w:rsidRDefault="00C773E9" w:rsidP="00D5533E">
      <w:pPr>
        <w:spacing w:after="120" w:line="240" w:lineRule="auto"/>
        <w:jc w:val="both"/>
      </w:pPr>
      <w:r w:rsidRPr="00D70AEB">
        <w:t>Az adminisztratív megfelelés vizsgálata során megállapítást nyert, hogy a cég a jogosultsági feltételeknek megfelelt, a megfelelőséget alátámasztó dokumentumokkal bizonyította. Ezek a feltételek az ajánlattételi felhívásban magyar és angol nyelven elérhetők voltak az ajánlattevők számára:</w:t>
      </w:r>
    </w:p>
    <w:p w:rsidR="00C773E9" w:rsidRPr="00710A39" w:rsidRDefault="00C773E9" w:rsidP="00CD0814">
      <w:pPr>
        <w:widowControl w:val="0"/>
        <w:spacing w:after="0" w:line="288" w:lineRule="auto"/>
        <w:ind w:firstLine="708"/>
        <w:outlineLvl w:val="0"/>
        <w:rPr>
          <w:rStyle w:val="Strong"/>
          <w:i/>
          <w:sz w:val="20"/>
          <w:szCs w:val="24"/>
        </w:rPr>
      </w:pPr>
      <w:r w:rsidRPr="00710A39">
        <w:rPr>
          <w:rStyle w:val="Strong"/>
          <w:i/>
          <w:sz w:val="20"/>
          <w:szCs w:val="24"/>
        </w:rPr>
        <w:t xml:space="preserve">Kiválasztási kritériumok </w:t>
      </w:r>
    </w:p>
    <w:p w:rsidR="00C773E9" w:rsidRPr="00710A39" w:rsidRDefault="00C773E9" w:rsidP="00CD0814">
      <w:pPr>
        <w:pStyle w:val="Blockquote"/>
        <w:spacing w:before="0" w:after="0" w:line="288" w:lineRule="auto"/>
        <w:ind w:left="709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i/>
          <w:sz w:val="20"/>
          <w:szCs w:val="22"/>
          <w:lang w:val="hu-HU"/>
        </w:rPr>
        <w:t>Az alábbi kiválasztási kritériumok vonatkoznak az Ajánlattevőkre. A konzorciumban beadott ajánlatok esetén a kiválasztási kritériumok a konzorciumok egészére vonatkoznak</w:t>
      </w:r>
    </w:p>
    <w:p w:rsidR="00C773E9" w:rsidRPr="00710A39" w:rsidRDefault="00C773E9" w:rsidP="00CD0814">
      <w:pPr>
        <w:pStyle w:val="Blockquote"/>
        <w:spacing w:before="0" w:after="0" w:line="288" w:lineRule="auto"/>
        <w:ind w:left="708"/>
        <w:jc w:val="both"/>
        <w:rPr>
          <w:rFonts w:ascii="Calibri" w:hAnsi="Calibri"/>
          <w:i/>
          <w:sz w:val="20"/>
          <w:szCs w:val="22"/>
        </w:rPr>
      </w:pPr>
      <w:r w:rsidRPr="00710A39">
        <w:rPr>
          <w:rFonts w:ascii="Calibri" w:hAnsi="Calibri"/>
          <w:b/>
          <w:bCs/>
          <w:i/>
          <w:sz w:val="20"/>
          <w:szCs w:val="22"/>
          <w:lang w:val="hu-HU"/>
        </w:rPr>
        <w:t xml:space="preserve">Az Ajánlattevők gazdasági és pénzügyi alkalmassága </w:t>
      </w:r>
      <w:r w:rsidRPr="00710A39">
        <w:rPr>
          <w:rFonts w:ascii="Calibri" w:hAnsi="Calibri"/>
          <w:i/>
          <w:sz w:val="20"/>
          <w:szCs w:val="22"/>
          <w:lang w:val="hu-HU"/>
        </w:rPr>
        <w:t>(a Tender form – Ajánlattételi adatlap 3. pont). Amennyiben az Ajánlattevő közintézmény, abban az esetben az alábbi információkat ugyanúgy rendelkezésre kell bocsátani.</w:t>
      </w:r>
    </w:p>
    <w:p w:rsidR="00C773E9" w:rsidRPr="00710A39" w:rsidRDefault="00C773E9" w:rsidP="00CD0814">
      <w:pPr>
        <w:pStyle w:val="Blockquote"/>
        <w:numPr>
          <w:ilvl w:val="0"/>
          <w:numId w:val="10"/>
        </w:numPr>
        <w:spacing w:before="0" w:after="0" w:line="288" w:lineRule="auto"/>
        <w:jc w:val="both"/>
        <w:rPr>
          <w:rFonts w:ascii="Calibri" w:hAnsi="Calibri"/>
          <w:i/>
          <w:sz w:val="20"/>
          <w:szCs w:val="22"/>
        </w:rPr>
      </w:pPr>
      <w:r w:rsidRPr="00710A39">
        <w:rPr>
          <w:rFonts w:ascii="Calibri" w:hAnsi="Calibri"/>
          <w:i/>
          <w:sz w:val="20"/>
          <w:szCs w:val="22"/>
        </w:rPr>
        <w:t>Azajánlatbenyújtásátmegelőző 36 hónapbármelyikében amegvalósultsajátgyártásúkerékpárok egytételű értékesítéséből származó árbevételből (1 vevő 1 db rendelésének keretében megvalósult kerékpárszállítás) legalább egy értékesítés érje el a minimum nettó 80 millió Ft értéket.</w:t>
      </w:r>
    </w:p>
    <w:p w:rsidR="00C773E9" w:rsidRPr="00710A39" w:rsidRDefault="00C773E9" w:rsidP="00CD0814">
      <w:pPr>
        <w:pStyle w:val="NormalWeb"/>
        <w:spacing w:before="0" w:beforeAutospacing="0" w:after="0" w:afterAutospacing="0" w:line="288" w:lineRule="auto"/>
        <w:ind w:left="1069"/>
        <w:jc w:val="both"/>
        <w:rPr>
          <w:rFonts w:ascii="Calibri" w:hAnsi="Calibri"/>
          <w:i/>
          <w:snapToGrid w:val="0"/>
          <w:sz w:val="20"/>
          <w:szCs w:val="22"/>
          <w:lang w:eastAsia="en-US"/>
        </w:rPr>
      </w:pPr>
      <w:r w:rsidRPr="00710A39">
        <w:rPr>
          <w:rFonts w:ascii="Calibri" w:hAnsi="Calibri"/>
          <w:i/>
          <w:snapToGrid w:val="0"/>
          <w:sz w:val="20"/>
          <w:szCs w:val="22"/>
          <w:lang w:eastAsia="en-US"/>
        </w:rPr>
        <w:t>Az ügylet bemutatása terjedjen ki az alábbiakra: értékesített termék(-ek) bemutatása, ellenszolgáltatás összege, teljesítés ideje, vevő megnevezése és a referenciát igazoló személy neve, elérhetősége, nyilatkozat, hogy a teljesítés a rendelésnek/ szerződésnek megfelelően történt.</w:t>
      </w:r>
    </w:p>
    <w:p w:rsidR="00C773E9" w:rsidRPr="00710A39" w:rsidRDefault="00C773E9" w:rsidP="00CD0814">
      <w:pPr>
        <w:pStyle w:val="Blockquote"/>
        <w:numPr>
          <w:ilvl w:val="0"/>
          <w:numId w:val="8"/>
        </w:numPr>
        <w:tabs>
          <w:tab w:val="clear" w:pos="360"/>
          <w:tab w:val="num" w:pos="1134"/>
        </w:tabs>
        <w:spacing w:before="0" w:after="0" w:line="288" w:lineRule="auto"/>
        <w:ind w:left="1134" w:hanging="425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i/>
          <w:sz w:val="20"/>
          <w:szCs w:val="22"/>
          <w:lang w:val="hu-HU"/>
        </w:rPr>
        <w:t xml:space="preserve">Az ajánlattevő kerékpár vagy kerékpárdokkoló rendszer összértékesítése haladja meg a minimum 300.000.000 forint/évet az elmúlt 3 éven belül. </w:t>
      </w:r>
    </w:p>
    <w:p w:rsidR="00C773E9" w:rsidRPr="00710A39" w:rsidRDefault="00C773E9" w:rsidP="00CD0814">
      <w:pPr>
        <w:pStyle w:val="Blockquote"/>
        <w:spacing w:before="0" w:after="0" w:line="288" w:lineRule="auto"/>
        <w:ind w:firstLine="348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b/>
          <w:bCs/>
          <w:i/>
          <w:sz w:val="20"/>
          <w:szCs w:val="22"/>
          <w:lang w:val="hu-HU"/>
        </w:rPr>
        <w:t>Ajánlattevő szakmai alkalmassága</w:t>
      </w:r>
      <w:r w:rsidRPr="00710A39">
        <w:rPr>
          <w:rFonts w:ascii="Calibri" w:hAnsi="Calibri"/>
          <w:i/>
          <w:sz w:val="20"/>
          <w:szCs w:val="22"/>
          <w:lang w:val="hu-HU"/>
        </w:rPr>
        <w:t xml:space="preserve"> (a Tender Form – ajánlattételi adatlap 4. és 5. pontja alapján)</w:t>
      </w:r>
    </w:p>
    <w:p w:rsidR="00C773E9" w:rsidRPr="00710A39" w:rsidRDefault="00C773E9" w:rsidP="00CD0814">
      <w:pPr>
        <w:pStyle w:val="Blockquote"/>
        <w:numPr>
          <w:ilvl w:val="0"/>
          <w:numId w:val="7"/>
        </w:numPr>
        <w:tabs>
          <w:tab w:val="clear" w:pos="360"/>
          <w:tab w:val="num" w:pos="1134"/>
        </w:tabs>
        <w:spacing w:before="0" w:after="0" w:line="288" w:lineRule="auto"/>
        <w:ind w:left="1134" w:hanging="425"/>
        <w:jc w:val="both"/>
        <w:rPr>
          <w:rFonts w:ascii="Calibri" w:hAnsi="Calibri"/>
          <w:b/>
          <w:i/>
          <w:sz w:val="20"/>
          <w:szCs w:val="22"/>
          <w:lang w:val="hu-HU"/>
        </w:rPr>
      </w:pPr>
      <w:r w:rsidRPr="00710A39">
        <w:rPr>
          <w:rFonts w:ascii="Calibri" w:hAnsi="Calibri"/>
          <w:i/>
          <w:sz w:val="20"/>
          <w:szCs w:val="22"/>
          <w:lang w:val="hu-HU"/>
        </w:rPr>
        <w:t>van a szerződéshez szükséges szakmai bizonyítványa, mint Kerékpár gyártása, mint főtevékenység,</w:t>
      </w:r>
    </w:p>
    <w:p w:rsidR="00C773E9" w:rsidRPr="00710A39" w:rsidRDefault="00C773E9" w:rsidP="00CD0814">
      <w:pPr>
        <w:pStyle w:val="Blockquote"/>
        <w:numPr>
          <w:ilvl w:val="0"/>
          <w:numId w:val="7"/>
        </w:numPr>
        <w:tabs>
          <w:tab w:val="clear" w:pos="360"/>
          <w:tab w:val="num" w:pos="1134"/>
        </w:tabs>
        <w:spacing w:before="0" w:after="0" w:line="288" w:lineRule="auto"/>
        <w:ind w:left="1134" w:hanging="425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i/>
          <w:sz w:val="20"/>
          <w:szCs w:val="22"/>
          <w:lang w:val="hu-HU"/>
        </w:rPr>
        <w:t xml:space="preserve">az ajánlattevő legalább </w:t>
      </w:r>
      <w:r w:rsidRPr="00710A39">
        <w:rPr>
          <w:rFonts w:ascii="Calibri" w:hAnsi="Calibri"/>
          <w:b/>
          <w:i/>
          <w:sz w:val="20"/>
          <w:szCs w:val="22"/>
          <w:lang w:val="hu-HU"/>
        </w:rPr>
        <w:t xml:space="preserve">5 </w:t>
      </w:r>
      <w:r w:rsidRPr="00710A39">
        <w:rPr>
          <w:rFonts w:ascii="Calibri" w:hAnsi="Calibri"/>
          <w:i/>
          <w:sz w:val="20"/>
          <w:szCs w:val="22"/>
          <w:lang w:val="hu-HU"/>
        </w:rPr>
        <w:t xml:space="preserve">fő alkalmazottja a szerződés tárgyához kapcsolódó területen dolgozik; és </w:t>
      </w:r>
    </w:p>
    <w:p w:rsidR="00C773E9" w:rsidRPr="00710A39" w:rsidRDefault="00C773E9" w:rsidP="00CD0814">
      <w:pPr>
        <w:pStyle w:val="Blockquote"/>
        <w:numPr>
          <w:ilvl w:val="0"/>
          <w:numId w:val="7"/>
        </w:numPr>
        <w:tabs>
          <w:tab w:val="clear" w:pos="360"/>
          <w:tab w:val="num" w:pos="1134"/>
        </w:tabs>
        <w:spacing w:before="0" w:after="0" w:line="288" w:lineRule="auto"/>
        <w:ind w:left="1134" w:hanging="425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i/>
          <w:sz w:val="20"/>
          <w:szCs w:val="22"/>
          <w:lang w:val="hu-HU"/>
        </w:rPr>
        <w:t>a szerződés tárgyához kapcsolódó területen dolgozó munkatársak legalább 20 %-a állandó alkalmazott</w:t>
      </w:r>
    </w:p>
    <w:p w:rsidR="00C773E9" w:rsidRPr="00710A39" w:rsidRDefault="00C773E9" w:rsidP="00CD0814">
      <w:pPr>
        <w:pStyle w:val="Blockquote"/>
        <w:spacing w:before="0" w:after="0" w:line="288" w:lineRule="auto"/>
        <w:ind w:firstLine="348"/>
        <w:jc w:val="both"/>
        <w:rPr>
          <w:rFonts w:ascii="Calibri" w:hAnsi="Calibri"/>
          <w:i/>
          <w:sz w:val="20"/>
          <w:szCs w:val="22"/>
          <w:lang w:val="hu-HU"/>
        </w:rPr>
      </w:pPr>
      <w:r w:rsidRPr="00710A39">
        <w:rPr>
          <w:rFonts w:ascii="Calibri" w:hAnsi="Calibri"/>
          <w:b/>
          <w:bCs/>
          <w:i/>
          <w:sz w:val="20"/>
          <w:szCs w:val="22"/>
          <w:lang w:val="hu-HU"/>
        </w:rPr>
        <w:t>Ajánlattevő műszaki alkalmassága</w:t>
      </w:r>
      <w:r w:rsidRPr="00710A39">
        <w:rPr>
          <w:rFonts w:ascii="Calibri" w:hAnsi="Calibri"/>
          <w:i/>
          <w:sz w:val="20"/>
          <w:szCs w:val="22"/>
          <w:lang w:val="hu-HU"/>
        </w:rPr>
        <w:t xml:space="preserve"> (a Tender Form – ajánlattételi adatlap 5. és 6. pontja alapján)</w:t>
      </w:r>
    </w:p>
    <w:p w:rsidR="00C773E9" w:rsidRPr="00710A39" w:rsidRDefault="00C773E9" w:rsidP="00CD0814">
      <w:pPr>
        <w:spacing w:after="0" w:line="288" w:lineRule="auto"/>
        <w:ind w:left="708"/>
        <w:jc w:val="both"/>
        <w:rPr>
          <w:i/>
        </w:rPr>
      </w:pPr>
      <w:r w:rsidRPr="00710A39">
        <w:rPr>
          <w:i/>
          <w:sz w:val="20"/>
        </w:rPr>
        <w:t>Ajánlattevő rendelkezzen az ajánlattételi határidőt megelőző három évből legalább </w:t>
      </w:r>
      <w:r w:rsidRPr="00710A39">
        <w:rPr>
          <w:b/>
          <w:bCs/>
          <w:i/>
          <w:sz w:val="20"/>
        </w:rPr>
        <w:t>egy – 50 db-os kerékpár állományt magába foglaló – általa telepített kerékpáros közösségi közlekedési rendszerrel</w:t>
      </w:r>
      <w:r w:rsidRPr="00710A39">
        <w:rPr>
          <w:i/>
          <w:sz w:val="20"/>
        </w:rPr>
        <w:t>, amely igazolható műszaki átadás-átvétel után van, közterületen és a közösségi közlekedés részeként működik. Ajánlattevő részletesen mutassa be, hogy a rendszer sikeres telepítéséhez milyen szakmai kapacitással rendelkezik (szakterületenként és szakképzettségenként).</w:t>
      </w:r>
    </w:p>
    <w:p w:rsidR="00C773E9" w:rsidRPr="00D70AEB" w:rsidRDefault="00C773E9" w:rsidP="000946B1">
      <w:pPr>
        <w:spacing w:after="120" w:line="240" w:lineRule="auto"/>
        <w:ind w:left="708"/>
        <w:jc w:val="both"/>
      </w:pPr>
    </w:p>
    <w:p w:rsidR="00C773E9" w:rsidRPr="00710A39" w:rsidRDefault="00C773E9" w:rsidP="00D5533E">
      <w:pPr>
        <w:spacing w:after="120" w:line="240" w:lineRule="auto"/>
        <w:jc w:val="both"/>
      </w:pPr>
      <w:r w:rsidRPr="00710A39">
        <w:t>Az ajánlattevő szerepel a NAV köztartozás mentes adatbázisában, de terhelő adatokat az nem tartalmaz és az Opten céginformációs adatbázis sem tartalmaz elmarasztaló bejegyzéseket.</w:t>
      </w:r>
    </w:p>
    <w:p w:rsidR="00C773E9" w:rsidRPr="00710A39" w:rsidRDefault="00C773E9" w:rsidP="00D5533E">
      <w:pPr>
        <w:spacing w:after="120" w:line="240" w:lineRule="auto"/>
        <w:jc w:val="both"/>
      </w:pPr>
      <w:r w:rsidRPr="00710A39">
        <w:t>Az alkalmassági kritériumok vizsgálatát követően a BB alaposan áttekintette a Technikai ajánlatot és azt állapította meg, hogy az ajánlatban foglalt információk elfogadható az Önkormányzat számára, a felhívásban elvárásként megfogalmazott minimum műszaki tartalmat biztosítja.</w:t>
      </w:r>
    </w:p>
    <w:p w:rsidR="00C773E9" w:rsidRDefault="00C773E9" w:rsidP="00D70AEB">
      <w:pPr>
        <w:spacing w:after="120" w:line="240" w:lineRule="auto"/>
        <w:jc w:val="both"/>
        <w:rPr>
          <w:rFonts w:cs="Arial"/>
        </w:rPr>
      </w:pPr>
    </w:p>
    <w:p w:rsidR="00C773E9" w:rsidRPr="00710A39" w:rsidRDefault="00C773E9" w:rsidP="00D70AEB">
      <w:pPr>
        <w:spacing w:after="120" w:line="240" w:lineRule="auto"/>
        <w:jc w:val="both"/>
        <w:rPr>
          <w:rFonts w:cs="Arial"/>
        </w:rPr>
      </w:pPr>
      <w:r w:rsidRPr="00710A39">
        <w:rPr>
          <w:rFonts w:cs="Arial"/>
        </w:rPr>
        <w:t>Az Ajánlati felhívásban és a szerződés-tervezetben a következő garanciákat kértük és szükséges biztosítani:</w:t>
      </w:r>
    </w:p>
    <w:p w:rsidR="00C773E9" w:rsidRPr="00710A39" w:rsidRDefault="00C773E9" w:rsidP="00D70AEB">
      <w:pPr>
        <w:pStyle w:val="BodyTextIndent"/>
        <w:tabs>
          <w:tab w:val="clear" w:pos="567"/>
        </w:tabs>
        <w:ind w:firstLine="708"/>
        <w:rPr>
          <w:rFonts w:ascii="Calibri" w:hAnsi="Calibri" w:cs="Arial"/>
          <w:b/>
          <w:i/>
          <w:sz w:val="20"/>
          <w:szCs w:val="22"/>
          <w:lang w:val="hu-HU"/>
        </w:rPr>
      </w:pPr>
      <w:r w:rsidRPr="00710A39">
        <w:rPr>
          <w:rFonts w:ascii="Calibri" w:hAnsi="Calibri" w:cs="Arial"/>
          <w:b/>
          <w:i/>
          <w:sz w:val="20"/>
          <w:szCs w:val="22"/>
          <w:lang w:val="hu-HU"/>
        </w:rPr>
        <w:t>Hibás teljesítési kötbér: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Feltétele: a Vállalkozó a jelen szerződés szerinti feladatait nem szerződésszerűen teljesíti és a Szerződési Hatóság által jelzett hibát a meghatározott határidőre nem javítja ki.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Mértéke: A hibás teljesítés kijavítására tűzött határidő leteltét követően naponta a kötbéralap 1%, de legfeljebb a kötbéralap 20%-a.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</w:p>
    <w:p w:rsidR="00C773E9" w:rsidRPr="00710A39" w:rsidRDefault="00C773E9" w:rsidP="00D70AEB">
      <w:pPr>
        <w:tabs>
          <w:tab w:val="num" w:pos="851"/>
        </w:tabs>
        <w:spacing w:after="0" w:line="240" w:lineRule="auto"/>
        <w:jc w:val="both"/>
        <w:rPr>
          <w:rFonts w:cs="Arial"/>
          <w:b/>
          <w:i/>
          <w:sz w:val="20"/>
        </w:rPr>
      </w:pPr>
      <w:r w:rsidRPr="00710A39">
        <w:rPr>
          <w:rFonts w:cs="Arial"/>
          <w:b/>
          <w:i/>
          <w:sz w:val="20"/>
        </w:rPr>
        <w:tab/>
        <w:t>Késedelmi kötbér: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Feltétele: a Vállalkozónak a jelen szerződés szerinti feladatainak teljesítésével az ütemtervben foglaltakhoz képest késedelembe esik.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Mértéke: Naponta a kötbéralap 1%, de legfeljebb a kötbéralap 20%-a. 30 napos késedelem a szerződés egyoldalú felmondását eredményezheti Megrendelő részéről.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</w:p>
    <w:p w:rsidR="00C773E9" w:rsidRPr="00710A39" w:rsidRDefault="00C773E9" w:rsidP="00D70AEB">
      <w:pPr>
        <w:tabs>
          <w:tab w:val="num" w:pos="851"/>
        </w:tabs>
        <w:spacing w:after="0" w:line="240" w:lineRule="auto"/>
        <w:jc w:val="both"/>
        <w:rPr>
          <w:rFonts w:cs="Arial"/>
          <w:b/>
          <w:i/>
          <w:sz w:val="20"/>
        </w:rPr>
      </w:pPr>
      <w:r w:rsidRPr="00710A39">
        <w:rPr>
          <w:rFonts w:cs="Arial"/>
          <w:b/>
          <w:i/>
          <w:sz w:val="20"/>
        </w:rPr>
        <w:tab/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jc w:val="both"/>
        <w:rPr>
          <w:rFonts w:cs="Arial"/>
          <w:b/>
          <w:i/>
          <w:sz w:val="20"/>
        </w:rPr>
      </w:pPr>
      <w:bookmarkStart w:id="0" w:name="_GoBack"/>
      <w:bookmarkEnd w:id="0"/>
    </w:p>
    <w:p w:rsidR="00C773E9" w:rsidRPr="00710A39" w:rsidRDefault="00C773E9" w:rsidP="00D70AEB">
      <w:pPr>
        <w:tabs>
          <w:tab w:val="num" w:pos="851"/>
        </w:tabs>
        <w:spacing w:after="0" w:line="240" w:lineRule="auto"/>
        <w:jc w:val="both"/>
        <w:rPr>
          <w:rFonts w:cs="Arial"/>
          <w:b/>
          <w:i/>
          <w:sz w:val="20"/>
        </w:rPr>
      </w:pPr>
      <w:r w:rsidRPr="00710A39">
        <w:rPr>
          <w:rFonts w:cs="Arial"/>
          <w:b/>
          <w:i/>
          <w:sz w:val="20"/>
        </w:rPr>
        <w:tab/>
        <w:t>Meghiúsulási kötbér: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jc w:val="both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Feltétele: a Vállalkozó a jelen szerződés szerinti feladatokat részben vagy egészben nem teljesíti, ideértve azt az esetet is, ha a Vállalkozó a szolgáltatás teljesítésével késedelembe esik és a teljesítés már nem áll a Megrendelő érdekében.</w:t>
      </w:r>
    </w:p>
    <w:p w:rsidR="00C773E9" w:rsidRPr="00710A39" w:rsidRDefault="00C773E9" w:rsidP="00D70AEB">
      <w:pPr>
        <w:tabs>
          <w:tab w:val="num" w:pos="851"/>
        </w:tabs>
        <w:spacing w:after="0" w:line="240" w:lineRule="auto"/>
        <w:ind w:left="709"/>
        <w:rPr>
          <w:rFonts w:cs="Arial"/>
          <w:i/>
          <w:sz w:val="20"/>
        </w:rPr>
      </w:pPr>
      <w:r w:rsidRPr="00710A39">
        <w:rPr>
          <w:rFonts w:cs="Arial"/>
          <w:i/>
          <w:sz w:val="20"/>
        </w:rPr>
        <w:t>Mértéke: A kötbéralap 20%-a.</w:t>
      </w:r>
    </w:p>
    <w:p w:rsidR="00C773E9" w:rsidRPr="00710A39" w:rsidRDefault="00C773E9" w:rsidP="00D70AEB">
      <w:pPr>
        <w:pStyle w:val="BodyTextIndent"/>
        <w:tabs>
          <w:tab w:val="clear" w:pos="567"/>
          <w:tab w:val="num" w:pos="851"/>
        </w:tabs>
        <w:ind w:left="426"/>
        <w:rPr>
          <w:rFonts w:ascii="Calibri" w:hAnsi="Calibri" w:cs="Arial"/>
          <w:bCs/>
          <w:i/>
          <w:sz w:val="20"/>
          <w:szCs w:val="22"/>
          <w:lang w:val="hu-HU"/>
        </w:rPr>
      </w:pPr>
    </w:p>
    <w:p w:rsidR="00C773E9" w:rsidRPr="00710A39" w:rsidRDefault="00C773E9" w:rsidP="00D70AEB">
      <w:pPr>
        <w:spacing w:after="120" w:line="240" w:lineRule="auto"/>
        <w:ind w:left="708" w:firstLine="1"/>
        <w:jc w:val="both"/>
        <w:rPr>
          <w:rFonts w:cs="Arial"/>
          <w:i/>
          <w:sz w:val="20"/>
        </w:rPr>
      </w:pPr>
      <w:r w:rsidRPr="00710A39">
        <w:rPr>
          <w:rFonts w:cs="Arial"/>
          <w:bCs/>
          <w:i/>
          <w:sz w:val="20"/>
        </w:rPr>
        <w:t>Vállalkozó hozzájárul, hogy a Szerződési Hatóság az esedékes kötbér összegét a számlából levonja. A kötbér alapja a vállalkozói díj ÁFA-val növelt (bruttó) összege.</w:t>
      </w:r>
    </w:p>
    <w:p w:rsidR="00C773E9" w:rsidRDefault="00C773E9" w:rsidP="00D5533E">
      <w:pPr>
        <w:spacing w:after="120" w:line="240" w:lineRule="auto"/>
        <w:jc w:val="both"/>
      </w:pPr>
    </w:p>
    <w:p w:rsidR="00C773E9" w:rsidRPr="00710A39" w:rsidRDefault="00C773E9" w:rsidP="00D5533E">
      <w:pPr>
        <w:spacing w:after="120" w:line="240" w:lineRule="auto"/>
        <w:jc w:val="both"/>
      </w:pPr>
      <w:r w:rsidRPr="00710A39">
        <w:t>A szerződéskötés feltétele az, hogy a vállalkozó rendelkezzen felelősség biztosítással, ezt szükséges bemutatnia, az alábbiak szerint:</w:t>
      </w:r>
    </w:p>
    <w:p w:rsidR="00C773E9" w:rsidRDefault="00C773E9" w:rsidP="00710A39">
      <w:pPr>
        <w:spacing w:after="120" w:line="240" w:lineRule="auto"/>
        <w:ind w:left="708"/>
        <w:jc w:val="both"/>
        <w:rPr>
          <w:bCs/>
          <w:i/>
          <w:iCs/>
          <w:snapToGrid w:val="0"/>
          <w:sz w:val="20"/>
          <w:szCs w:val="20"/>
        </w:rPr>
      </w:pPr>
      <w:r w:rsidRPr="00710A39">
        <w:rPr>
          <w:bCs/>
          <w:i/>
          <w:snapToGrid w:val="0"/>
          <w:sz w:val="20"/>
          <w:szCs w:val="20"/>
        </w:rPr>
        <w:t>Vállalkozó tevékenységével összefüggő, illetve a szerződés teljesítése során keletkező károk megtérítéséért a Vállalkozó teljes kártérítési felelősséggel tartozik. A Vállalkozónak rendelkeznie kell a jelen szerződésben meghatározott feladatra vonatkozóan megkötött, vagy arra kiterjesztett, C.A.R. (ContractorsAllRisk) összkockázatú rendszerű építés-szerelési biztosítással a műszaki-átadás átvétel időpontjáig terjedő időtartamra szóló, összesen legalább 45 millió forint/év és 15 millió Ft/káresemény építőipari kivitelezési és egyben nem vagyoni kárértékre vonatkozó felelősségbiztosítással. A felelősségbiztosításnak ki kell terjednie az ajánlattevő, valamint az alvállalkozók által okozott kárért való felelősségre is. A felelősségbiztosítás meglétét igazoló kötvényt a szerződés megkötésének időpontjára be kell tudni mutatni.</w:t>
      </w:r>
      <w:r w:rsidRPr="00710A39">
        <w:rPr>
          <w:bCs/>
          <w:i/>
          <w:iCs/>
          <w:snapToGrid w:val="0"/>
          <w:sz w:val="20"/>
          <w:szCs w:val="20"/>
        </w:rPr>
        <w:t>A biztosítás terjedelme felöleli az építési – szerelési munkákkal kapcsolatban felmerülő kockázatok vállalkozói és biztosítói gyakorlat, tapasztalat szerinti körét</w:t>
      </w:r>
      <w:r>
        <w:rPr>
          <w:bCs/>
          <w:i/>
          <w:iCs/>
          <w:snapToGrid w:val="0"/>
          <w:sz w:val="20"/>
          <w:szCs w:val="20"/>
        </w:rPr>
        <w:t>.</w:t>
      </w:r>
    </w:p>
    <w:p w:rsidR="00C773E9" w:rsidRPr="006B6B83" w:rsidRDefault="00C773E9" w:rsidP="00710A39">
      <w:pPr>
        <w:spacing w:after="120" w:line="240" w:lineRule="auto"/>
        <w:ind w:left="708"/>
        <w:jc w:val="both"/>
        <w:rPr>
          <w:bCs/>
          <w:iCs/>
          <w:snapToGrid w:val="0"/>
          <w:szCs w:val="20"/>
        </w:rPr>
      </w:pPr>
    </w:p>
    <w:p w:rsidR="00C773E9" w:rsidRDefault="00C773E9" w:rsidP="006B6B83">
      <w:pPr>
        <w:spacing w:after="120" w:line="240" w:lineRule="auto"/>
        <w:jc w:val="both"/>
        <w:rPr>
          <w:bCs/>
          <w:iCs/>
          <w:snapToGrid w:val="0"/>
          <w:szCs w:val="20"/>
        </w:rPr>
      </w:pPr>
    </w:p>
    <w:p w:rsidR="00C773E9" w:rsidRDefault="00C773E9" w:rsidP="006B6B83">
      <w:pPr>
        <w:spacing w:after="120" w:line="240" w:lineRule="auto"/>
        <w:jc w:val="both"/>
        <w:rPr>
          <w:bCs/>
          <w:iCs/>
          <w:snapToGrid w:val="0"/>
          <w:szCs w:val="20"/>
        </w:rPr>
      </w:pPr>
      <w:r>
        <w:rPr>
          <w:bCs/>
          <w:iCs/>
          <w:snapToGrid w:val="0"/>
          <w:szCs w:val="20"/>
        </w:rPr>
        <w:t>Tekintettel arra, hogy a bírálati fázisban nem volt szükség hiánypótlásra és arra, hogy a</w:t>
      </w:r>
      <w:r w:rsidRPr="006B6B83">
        <w:rPr>
          <w:bCs/>
          <w:iCs/>
          <w:snapToGrid w:val="0"/>
          <w:szCs w:val="20"/>
        </w:rPr>
        <w:t>PraG eljárás szerint nincsen szerződéskötési moratórium, fenti feltétel teljesítése időpontjában a szerződés megköthető.</w:t>
      </w:r>
    </w:p>
    <w:p w:rsidR="00C773E9" w:rsidRDefault="00C773E9" w:rsidP="006B6B83">
      <w:pPr>
        <w:spacing w:after="120" w:line="240" w:lineRule="auto"/>
        <w:jc w:val="both"/>
        <w:rPr>
          <w:bCs/>
          <w:iCs/>
          <w:snapToGrid w:val="0"/>
          <w:szCs w:val="20"/>
        </w:rPr>
      </w:pPr>
    </w:p>
    <w:p w:rsidR="00C773E9" w:rsidRPr="00D70AEB" w:rsidRDefault="00C773E9" w:rsidP="00D5533E">
      <w:pPr>
        <w:spacing w:after="120" w:line="240" w:lineRule="auto"/>
        <w:jc w:val="both"/>
        <w:rPr>
          <w:b/>
        </w:rPr>
      </w:pPr>
      <w:r w:rsidRPr="00D70AEB">
        <w:rPr>
          <w:b/>
        </w:rPr>
        <w:t>Pitó Enikő</w:t>
      </w:r>
    </w:p>
    <w:p w:rsidR="00C773E9" w:rsidRPr="00D70AEB" w:rsidRDefault="00C773E9" w:rsidP="00D5533E">
      <w:pPr>
        <w:spacing w:after="120" w:line="240" w:lineRule="auto"/>
        <w:jc w:val="both"/>
      </w:pPr>
      <w:r w:rsidRPr="00D70AEB">
        <w:t>PraG szakértő összegzése, a Bíráló Bizottság és bontási dokumentumok alapján.</w:t>
      </w:r>
    </w:p>
    <w:p w:rsidR="00C773E9" w:rsidRPr="00D70AEB" w:rsidRDefault="00C773E9" w:rsidP="00D5533E">
      <w:pPr>
        <w:spacing w:after="120" w:line="240" w:lineRule="auto"/>
        <w:jc w:val="both"/>
      </w:pPr>
      <w:r w:rsidRPr="00D70AEB">
        <w:t>HÉVÍZ, 2013.12.05.</w:t>
      </w:r>
    </w:p>
    <w:sectPr w:rsidR="00C773E9" w:rsidRPr="00D70AEB" w:rsidSect="005D47BA">
      <w:headerReference w:type="default" r:id="rId7"/>
      <w:pgSz w:w="11906" w:h="16838"/>
      <w:pgMar w:top="1417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3E9" w:rsidRDefault="00C773E9" w:rsidP="00C42A69">
      <w:pPr>
        <w:spacing w:after="0" w:line="240" w:lineRule="auto"/>
      </w:pPr>
      <w:r>
        <w:separator/>
      </w:r>
    </w:p>
  </w:endnote>
  <w:endnote w:type="continuationSeparator" w:id="1">
    <w:p w:rsidR="00C773E9" w:rsidRDefault="00C773E9" w:rsidP="00C4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3E9" w:rsidRDefault="00C773E9" w:rsidP="00C42A69">
      <w:pPr>
        <w:spacing w:after="0" w:line="240" w:lineRule="auto"/>
      </w:pPr>
      <w:r>
        <w:separator/>
      </w:r>
    </w:p>
  </w:footnote>
  <w:footnote w:type="continuationSeparator" w:id="1">
    <w:p w:rsidR="00C773E9" w:rsidRDefault="00C773E9" w:rsidP="00C4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3E9" w:rsidRPr="00C42A69" w:rsidRDefault="00C773E9" w:rsidP="00C42A69">
    <w:pPr>
      <w:pStyle w:val="Header"/>
      <w:jc w:val="center"/>
      <w:rPr>
        <w:sz w:val="24"/>
      </w:rPr>
    </w:pPr>
    <w:r w:rsidRPr="00C42A69">
      <w:rPr>
        <w:rStyle w:val="Strong"/>
        <w:rFonts w:ascii="Times New Roman" w:hAnsi="Times New Roman"/>
        <w:sz w:val="24"/>
      </w:rPr>
      <w:t>BicOaSupply HUHR/1101/1.2.2/2008 eszközbeszerzési nyílt eljárás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1AA"/>
    <w:multiLevelType w:val="multilevel"/>
    <w:tmpl w:val="1A7C69BA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1">
    <w:nsid w:val="08AD7E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EF414F"/>
    <w:multiLevelType w:val="hybridMultilevel"/>
    <w:tmpl w:val="66B00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606757D"/>
    <w:multiLevelType w:val="hybridMultilevel"/>
    <w:tmpl w:val="D088731A"/>
    <w:lvl w:ilvl="0" w:tplc="4A52A5B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70B36"/>
    <w:multiLevelType w:val="multilevel"/>
    <w:tmpl w:val="F670D5F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9B84BBB"/>
    <w:multiLevelType w:val="hybridMultilevel"/>
    <w:tmpl w:val="AB8C902A"/>
    <w:lvl w:ilvl="0" w:tplc="040E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FC0448A"/>
    <w:multiLevelType w:val="hybridMultilevel"/>
    <w:tmpl w:val="23FAA1E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E7"/>
    <w:rsid w:val="00063732"/>
    <w:rsid w:val="000946B1"/>
    <w:rsid w:val="000A32CA"/>
    <w:rsid w:val="00122171"/>
    <w:rsid w:val="00136391"/>
    <w:rsid w:val="00160D28"/>
    <w:rsid w:val="00171DA7"/>
    <w:rsid w:val="00310111"/>
    <w:rsid w:val="00414D0D"/>
    <w:rsid w:val="004160F9"/>
    <w:rsid w:val="004242D7"/>
    <w:rsid w:val="00496B70"/>
    <w:rsid w:val="00541829"/>
    <w:rsid w:val="005718EE"/>
    <w:rsid w:val="005B4C5B"/>
    <w:rsid w:val="005D47BA"/>
    <w:rsid w:val="006228D2"/>
    <w:rsid w:val="0067777B"/>
    <w:rsid w:val="006A3DDE"/>
    <w:rsid w:val="006A68EF"/>
    <w:rsid w:val="006B6B83"/>
    <w:rsid w:val="006C1924"/>
    <w:rsid w:val="00710A39"/>
    <w:rsid w:val="00723A0E"/>
    <w:rsid w:val="00727A7B"/>
    <w:rsid w:val="00771DED"/>
    <w:rsid w:val="007869B4"/>
    <w:rsid w:val="007A6FE7"/>
    <w:rsid w:val="008B34F0"/>
    <w:rsid w:val="008E7495"/>
    <w:rsid w:val="009733B1"/>
    <w:rsid w:val="0098263F"/>
    <w:rsid w:val="009C4795"/>
    <w:rsid w:val="00A01B47"/>
    <w:rsid w:val="00A47484"/>
    <w:rsid w:val="00C42A69"/>
    <w:rsid w:val="00C773E9"/>
    <w:rsid w:val="00CA596B"/>
    <w:rsid w:val="00CD0814"/>
    <w:rsid w:val="00D5533E"/>
    <w:rsid w:val="00D62946"/>
    <w:rsid w:val="00D70AEB"/>
    <w:rsid w:val="00E1123D"/>
    <w:rsid w:val="00E54EF1"/>
    <w:rsid w:val="00E92E5E"/>
    <w:rsid w:val="00F10C25"/>
    <w:rsid w:val="00FA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D2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32C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32CA"/>
    <w:pPr>
      <w:keepNext/>
      <w:spacing w:before="120" w:after="120" w:line="240" w:lineRule="auto"/>
      <w:outlineLvl w:val="1"/>
    </w:pPr>
    <w:rPr>
      <w:rFonts w:ascii="Arial" w:eastAsia="Times New Roman" w:hAnsi="Arial"/>
      <w:sz w:val="20"/>
      <w:szCs w:val="20"/>
      <w:lang w:val="fr-B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32C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32CA"/>
    <w:rPr>
      <w:rFonts w:ascii="Arial" w:hAnsi="Arial" w:cs="Times New Roman"/>
      <w:snapToGrid w:val="0"/>
      <w:sz w:val="20"/>
      <w:szCs w:val="20"/>
      <w:lang w:val="fr-BE"/>
    </w:rPr>
  </w:style>
  <w:style w:type="paragraph" w:styleId="ListParagraph">
    <w:name w:val="List Paragraph"/>
    <w:basedOn w:val="Normal"/>
    <w:uiPriority w:val="99"/>
    <w:qFormat/>
    <w:rsid w:val="006A3DDE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Heading1"/>
    <w:autoRedefine/>
    <w:uiPriority w:val="99"/>
    <w:rsid w:val="000A32CA"/>
    <w:pPr>
      <w:keepLines w:val="0"/>
      <w:numPr>
        <w:numId w:val="3"/>
      </w:numPr>
      <w:tabs>
        <w:tab w:val="clear" w:pos="360"/>
      </w:tabs>
      <w:spacing w:before="240" w:after="240" w:line="240" w:lineRule="auto"/>
      <w:jc w:val="both"/>
    </w:pPr>
    <w:rPr>
      <w:rFonts w:ascii="Times New Roman" w:hAnsi="Times New Roman"/>
      <w:iCs/>
      <w:color w:val="auto"/>
      <w:sz w:val="24"/>
      <w:szCs w:val="24"/>
      <w:lang w:val="fr-BE"/>
    </w:rPr>
  </w:style>
  <w:style w:type="paragraph" w:customStyle="1" w:styleId="Blockquote">
    <w:name w:val="Blockquote"/>
    <w:basedOn w:val="Normal"/>
    <w:uiPriority w:val="99"/>
    <w:rsid w:val="0031011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val="en-US"/>
    </w:rPr>
  </w:style>
  <w:style w:type="paragraph" w:styleId="NormalWeb">
    <w:name w:val="Normal (Web)"/>
    <w:basedOn w:val="Normal"/>
    <w:uiPriority w:val="99"/>
    <w:rsid w:val="00310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C4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2A6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2A69"/>
    <w:rPr>
      <w:rFonts w:cs="Times New Roman"/>
    </w:rPr>
  </w:style>
  <w:style w:type="character" w:styleId="Strong">
    <w:name w:val="Strong"/>
    <w:basedOn w:val="DefaultParagraphFont"/>
    <w:uiPriority w:val="99"/>
    <w:qFormat/>
    <w:rsid w:val="00C42A69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D70AEB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0AEB"/>
    <w:rPr>
      <w:rFonts w:ascii="Times New Roman" w:hAnsi="Times New Roman" w:cs="Times New Roman"/>
      <w:snapToGrid w:val="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710</Words>
  <Characters>4901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Neuzer Kft</dc:title>
  <dc:subject/>
  <dc:creator>Pitó Enikő</dc:creator>
  <cp:keywords/>
  <dc:description/>
  <cp:lastModifiedBy>csongradine</cp:lastModifiedBy>
  <cp:revision>2</cp:revision>
  <dcterms:created xsi:type="dcterms:W3CDTF">2013-12-10T06:58:00Z</dcterms:created>
  <dcterms:modified xsi:type="dcterms:W3CDTF">2013-12-10T06:58:00Z</dcterms:modified>
</cp:coreProperties>
</file>