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D7" w:rsidRPr="00C42A69" w:rsidRDefault="00121ED7" w:rsidP="00D5533E">
      <w:pPr>
        <w:tabs>
          <w:tab w:val="left" w:pos="2010"/>
        </w:tabs>
        <w:jc w:val="center"/>
        <w:rPr>
          <w:b/>
          <w:sz w:val="24"/>
        </w:rPr>
      </w:pPr>
      <w:r w:rsidRPr="00C42A69">
        <w:rPr>
          <w:b/>
          <w:sz w:val="24"/>
        </w:rPr>
        <w:t>CSEPELZrt ajánlata elutasításának indoklása</w:t>
      </w:r>
    </w:p>
    <w:p w:rsidR="00121ED7" w:rsidRDefault="00121ED7" w:rsidP="00D5533E">
      <w:pPr>
        <w:jc w:val="both"/>
      </w:pPr>
      <w:r>
        <w:t xml:space="preserve">A Csepel Zrt ajánlatát a Bíráló Bizottság elutasította adminisztratív megfelelőség (alkalmassági feltételeknek való megfelelés) </w:t>
      </w:r>
      <w:r w:rsidRPr="00310111">
        <w:rPr>
          <w:u w:val="single"/>
        </w:rPr>
        <w:t xml:space="preserve">hiánya </w:t>
      </w:r>
      <w:r>
        <w:t>miatt a következő indoklással:</w:t>
      </w:r>
    </w:p>
    <w:p w:rsidR="00121ED7" w:rsidRDefault="00121ED7" w:rsidP="00D5533E">
      <w:pPr>
        <w:jc w:val="both"/>
      </w:pPr>
      <w:r>
        <w:t xml:space="preserve">A konzorcium léte nem bizonyítottan alátámasztott az Ajánlattételi adatlap (Tender Formfor a SupplyContract) 7. bekezdésének figyelembe vételével (ezt a nyilatkozatot minden konzorciumi partnernek alá kell írnia), valamint az Instrukciók ajánlattevőknek dokumentum (Instructionstotenderer) 11. és 18. előírásai alapján, így az ajánlatot nem tekinthettük konzorciumi ajánlatnak.Egyéb alátámasztó </w:t>
      </w:r>
      <w:r w:rsidRPr="00136391">
        <w:t xml:space="preserve">dokumentum </w:t>
      </w:r>
      <w:r>
        <w:t xml:space="preserve">nem került csatolásra (pld. konzorciumi szerződés-tervezet vagy feladatmegosztás a partnerek között). </w:t>
      </w:r>
    </w:p>
    <w:p w:rsidR="00121ED7" w:rsidRDefault="00121ED7" w:rsidP="00D5533E">
      <w:pPr>
        <w:jc w:val="both"/>
      </w:pPr>
      <w:r>
        <w:t>Nem került csatolásra az a meghatalmazás sem, mely által a NextbikeGmbh. meghatalmazza a Csepel Zrt törvényes képviselőjét a nyilatkozatok aláírására.</w:t>
      </w:r>
    </w:p>
    <w:p w:rsidR="00121ED7" w:rsidRDefault="00121ED7" w:rsidP="00D5533E">
      <w:pPr>
        <w:jc w:val="both"/>
      </w:pPr>
      <w:r>
        <w:t>A dokumentáció hiányossága következtében a Csepel Zrt. alkalmasságát vizsgáltuk, a megnevezett partner NextbikeGmbh. gazdasági, pénzügyi, szakmai és műszaki alkalmasságát nem tudtuk figyelembe venni.</w:t>
      </w:r>
    </w:p>
    <w:p w:rsidR="00121ED7" w:rsidRDefault="00121ED7" w:rsidP="00D5533E">
      <w:pPr>
        <w:jc w:val="both"/>
      </w:pPr>
      <w:r>
        <w:t xml:space="preserve">Az alkalmassági feltételek vizsgálata során azt állítottuk meg, hogy az Ajánlati felhívás (ContractNotice) Alkalmassági és kiválasztási kritériumok (Selection and awardcritera) közül a </w:t>
      </w:r>
      <w:bookmarkStart w:id="0" w:name="_GoBack"/>
      <w:bookmarkEnd w:id="0"/>
      <w:r>
        <w:t>11.3. pontjában támasztott műszaki alkalmassági feltételeknek a cég nem felel meg, nevezetesen:</w:t>
      </w:r>
    </w:p>
    <w:p w:rsidR="00121ED7" w:rsidRPr="001D77A7" w:rsidRDefault="00121ED7" w:rsidP="00D5533E">
      <w:pPr>
        <w:pStyle w:val="Blockquote"/>
        <w:jc w:val="both"/>
        <w:rPr>
          <w:sz w:val="22"/>
          <w:szCs w:val="22"/>
          <w:lang w:val="hu-HU"/>
        </w:rPr>
      </w:pPr>
      <w:r w:rsidRPr="001D77A7">
        <w:rPr>
          <w:b/>
          <w:bCs/>
          <w:i/>
          <w:sz w:val="22"/>
          <w:szCs w:val="22"/>
          <w:lang w:val="hu-HU"/>
        </w:rPr>
        <w:t>Ajánlattevő műszaki alkalmassága</w:t>
      </w:r>
      <w:r w:rsidRPr="001D77A7">
        <w:rPr>
          <w:sz w:val="22"/>
          <w:szCs w:val="22"/>
          <w:lang w:val="hu-HU"/>
        </w:rPr>
        <w:t xml:space="preserve"> (a</w:t>
      </w:r>
      <w:r>
        <w:rPr>
          <w:sz w:val="22"/>
          <w:szCs w:val="22"/>
          <w:lang w:val="hu-HU"/>
        </w:rPr>
        <w:t>z A</w:t>
      </w:r>
      <w:r w:rsidRPr="001D77A7">
        <w:rPr>
          <w:sz w:val="22"/>
          <w:szCs w:val="22"/>
          <w:lang w:val="hu-HU"/>
        </w:rPr>
        <w:t>jánlattételi adatlap</w:t>
      </w:r>
      <w:r>
        <w:rPr>
          <w:sz w:val="22"/>
          <w:szCs w:val="22"/>
          <w:lang w:val="hu-HU"/>
        </w:rPr>
        <w:t xml:space="preserve"> (</w:t>
      </w:r>
      <w:r w:rsidRPr="001D77A7">
        <w:rPr>
          <w:sz w:val="22"/>
          <w:szCs w:val="22"/>
          <w:lang w:val="hu-HU"/>
        </w:rPr>
        <w:t>Tender Form</w:t>
      </w:r>
      <w:r>
        <w:rPr>
          <w:sz w:val="22"/>
          <w:szCs w:val="22"/>
          <w:lang w:val="hu-HU"/>
        </w:rPr>
        <w:t xml:space="preserve">) </w:t>
      </w:r>
      <w:r w:rsidRPr="001D77A7">
        <w:rPr>
          <w:sz w:val="22"/>
          <w:szCs w:val="22"/>
          <w:lang w:val="hu-HU"/>
        </w:rPr>
        <w:t xml:space="preserve"> 5. és 6. pontja alapján)</w:t>
      </w:r>
    </w:p>
    <w:p w:rsidR="00121ED7" w:rsidRDefault="00121ED7" w:rsidP="00D5533E">
      <w:pPr>
        <w:pStyle w:val="NormalWeb"/>
        <w:jc w:val="both"/>
        <w:rPr>
          <w:sz w:val="22"/>
          <w:szCs w:val="22"/>
        </w:rPr>
      </w:pPr>
      <w:r w:rsidRPr="001D77A7">
        <w:rPr>
          <w:sz w:val="22"/>
          <w:szCs w:val="22"/>
        </w:rPr>
        <w:t>Ajánlattevő rendelkezzen az ajánlattételi határidőt megelőző három évből legalább </w:t>
      </w:r>
      <w:r w:rsidRPr="001D77A7">
        <w:rPr>
          <w:b/>
          <w:bCs/>
          <w:sz w:val="22"/>
          <w:szCs w:val="22"/>
        </w:rPr>
        <w:t>egy – 50 db-os kerékpár állományt magába foglaló – általa telepített kerékpáros közösségi közlekedési rendszerrel</w:t>
      </w:r>
      <w:r w:rsidRPr="001D77A7">
        <w:rPr>
          <w:sz w:val="22"/>
          <w:szCs w:val="22"/>
        </w:rPr>
        <w:t>, amely igazolható műszaki átadás-átvétel után van</w:t>
      </w:r>
      <w:r w:rsidRPr="007E45BC">
        <w:rPr>
          <w:sz w:val="22"/>
          <w:szCs w:val="22"/>
        </w:rPr>
        <w:t>, közterületen és a közösségi közlekedés részeként működik. Ajánlattevő részletesen mutassa be, hogy a rendszer sikeres telepítéséhez milyen szakmai kapacitással rendelkezik (szakterületenként és szakképzettségenként).</w:t>
      </w:r>
    </w:p>
    <w:p w:rsidR="00121ED7" w:rsidRDefault="00121ED7" w:rsidP="00D5533E">
      <w:pPr>
        <w:jc w:val="both"/>
      </w:pPr>
      <w:r>
        <w:t>Az Ajánlattételi adatlap (Tender FormforSupplyContract)  5., valamint 6. pontja értelmében a cég csupán kerékpár gyártása és forgalmazás referenciákkal rendelkezik, szerelési, üzembe helyezési tapasztalata nincsen, ezt a jogosultságot és referenciát a Nextbike-kal való partnersége biztosította volna.</w:t>
      </w:r>
    </w:p>
    <w:p w:rsidR="00121ED7" w:rsidRDefault="00121ED7" w:rsidP="00D5533E">
      <w:pPr>
        <w:jc w:val="both"/>
      </w:pPr>
      <w:r>
        <w:t>A fenti indoklással alátámasztva, eljárásrend szerint a Csepel Zrt/NextbikeGmbh. partnerség technikai ajánlatát hivatalosan nem értékelhetjük, de informálisan természeten áttekinttettük és a technikai ajánlattal kapcsolatosan a következő megállapításokat tesszük:</w:t>
      </w:r>
    </w:p>
    <w:p w:rsidR="00121ED7" w:rsidRDefault="00121ED7" w:rsidP="00D5533E">
      <w:pPr>
        <w:pStyle w:val="ListParagraph"/>
        <w:numPr>
          <w:ilvl w:val="0"/>
          <w:numId w:val="6"/>
        </w:numPr>
        <w:jc w:val="both"/>
      </w:pPr>
      <w:r>
        <w:t xml:space="preserve">Dokkoló állomások: a hiányzik a nagy felbontású digitális kamera rendszer konkrét ajánlata; </w:t>
      </w:r>
    </w:p>
    <w:p w:rsidR="00121ED7" w:rsidRDefault="00121ED7" w:rsidP="00D5533E">
      <w:pPr>
        <w:pStyle w:val="ListParagraph"/>
        <w:numPr>
          <w:ilvl w:val="0"/>
          <w:numId w:val="6"/>
        </w:numPr>
        <w:jc w:val="both"/>
      </w:pPr>
      <w:r>
        <w:t>Terminálok megfelelősége nem igazolt, alapozásukra tett műszaki tartalom nem fogadható el.</w:t>
      </w:r>
    </w:p>
    <w:p w:rsidR="00121ED7" w:rsidRDefault="00121ED7" w:rsidP="00D5533E">
      <w:pPr>
        <w:pStyle w:val="ListParagraph"/>
        <w:numPr>
          <w:ilvl w:val="0"/>
          <w:numId w:val="6"/>
        </w:numPr>
        <w:jc w:val="both"/>
      </w:pPr>
      <w:r>
        <w:t>Kerékpárok esetében a saját zár megléte nem tisztázott.</w:t>
      </w:r>
    </w:p>
    <w:p w:rsidR="00121ED7" w:rsidRDefault="00121ED7" w:rsidP="00D5533E">
      <w:pPr>
        <w:pStyle w:val="ListParagraph"/>
        <w:numPr>
          <w:ilvl w:val="0"/>
          <w:numId w:val="6"/>
        </w:numPr>
        <w:jc w:val="both"/>
      </w:pPr>
      <w:r>
        <w:t>Irányítási rendszer technikai tartalmát és licence feltételeit jelen ajánlat kellene tartalmazza, hiszen az eljárás keretében tárgyalásra nem kerül sor. Ez a téma kulcsfontosságú az üzemeltetés szempontjából, így az ajánlat tartalma nem elfogadható.</w:t>
      </w:r>
    </w:p>
    <w:p w:rsidR="00121ED7" w:rsidRDefault="00121ED7" w:rsidP="00D5533E">
      <w:pPr>
        <w:pStyle w:val="ListParagraph"/>
        <w:numPr>
          <w:ilvl w:val="0"/>
          <w:numId w:val="6"/>
        </w:numPr>
        <w:jc w:val="both"/>
      </w:pPr>
      <w:r>
        <w:t>Nem történt értékelhető ajánlattétel a kerékpárokat szállító gépjárműre vonatkozóan.</w:t>
      </w:r>
    </w:p>
    <w:p w:rsidR="00121ED7" w:rsidRDefault="00121ED7" w:rsidP="00D5533E">
      <w:pPr>
        <w:pStyle w:val="ListParagraph"/>
        <w:numPr>
          <w:ilvl w:val="0"/>
          <w:numId w:val="6"/>
        </w:numPr>
        <w:jc w:val="both"/>
      </w:pPr>
      <w:r>
        <w:t>Az Irányító központ, munkaállomás esetében hasonlóan nem történt konkrét ajánlattétel. Hiányosságként és értékelhetetlennek minősítjük  aNextbikeoffice Szoftver licence-el kapcsolatos meghatározást, nem pontos meghatározás: „amíg a rendszer üzemel”.</w:t>
      </w:r>
    </w:p>
    <w:p w:rsidR="00121ED7" w:rsidRPr="00A01B47" w:rsidRDefault="00121ED7" w:rsidP="00D5533E">
      <w:pPr>
        <w:spacing w:after="120" w:line="240" w:lineRule="auto"/>
        <w:jc w:val="both"/>
        <w:rPr>
          <w:b/>
        </w:rPr>
      </w:pPr>
      <w:r>
        <w:rPr>
          <w:b/>
        </w:rPr>
        <w:t>Pitó Enikő</w:t>
      </w:r>
    </w:p>
    <w:p w:rsidR="00121ED7" w:rsidRDefault="00121ED7" w:rsidP="00D5533E">
      <w:pPr>
        <w:spacing w:after="120" w:line="240" w:lineRule="auto"/>
        <w:jc w:val="both"/>
      </w:pPr>
      <w:r>
        <w:t>PraG szakértő összegzése, a Bíráló Bizottság és bontási dokumentumok alapján.</w:t>
      </w:r>
    </w:p>
    <w:p w:rsidR="00121ED7" w:rsidRDefault="00121ED7" w:rsidP="00D5533E">
      <w:pPr>
        <w:spacing w:after="120" w:line="240" w:lineRule="auto"/>
        <w:jc w:val="both"/>
      </w:pPr>
      <w:r>
        <w:t>HÉVÍZ, 2013.12.05.</w:t>
      </w:r>
    </w:p>
    <w:sectPr w:rsidR="00121ED7" w:rsidSect="005D47BA">
      <w:headerReference w:type="default" r:id="rId7"/>
      <w:pgSz w:w="11906" w:h="16838"/>
      <w:pgMar w:top="1417" w:right="84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ED7" w:rsidRDefault="00121ED7" w:rsidP="00C42A69">
      <w:pPr>
        <w:spacing w:after="0" w:line="240" w:lineRule="auto"/>
      </w:pPr>
      <w:r>
        <w:separator/>
      </w:r>
    </w:p>
  </w:endnote>
  <w:endnote w:type="continuationSeparator" w:id="1">
    <w:p w:rsidR="00121ED7" w:rsidRDefault="00121ED7" w:rsidP="00C4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ED7" w:rsidRDefault="00121ED7" w:rsidP="00C42A69">
      <w:pPr>
        <w:spacing w:after="0" w:line="240" w:lineRule="auto"/>
      </w:pPr>
      <w:r>
        <w:separator/>
      </w:r>
    </w:p>
  </w:footnote>
  <w:footnote w:type="continuationSeparator" w:id="1">
    <w:p w:rsidR="00121ED7" w:rsidRDefault="00121ED7" w:rsidP="00C4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ED7" w:rsidRPr="00C42A69" w:rsidRDefault="00121ED7" w:rsidP="00C42A69">
    <w:pPr>
      <w:pStyle w:val="Header"/>
      <w:jc w:val="center"/>
      <w:rPr>
        <w:sz w:val="24"/>
      </w:rPr>
    </w:pPr>
    <w:r w:rsidRPr="00C42A69">
      <w:rPr>
        <w:rStyle w:val="Strong"/>
        <w:rFonts w:ascii="Times New Roman" w:hAnsi="Times New Roman"/>
        <w:sz w:val="24"/>
      </w:rPr>
      <w:t>BicOaSupply HUHR/1101/1.2.2/2008 eszközbeszerzési nyílt eljárás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414F"/>
    <w:multiLevelType w:val="hybridMultilevel"/>
    <w:tmpl w:val="66B008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9070B36"/>
    <w:multiLevelType w:val="multilevel"/>
    <w:tmpl w:val="F670D5F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49B84BBB"/>
    <w:multiLevelType w:val="hybridMultilevel"/>
    <w:tmpl w:val="AB8C902A"/>
    <w:lvl w:ilvl="0" w:tplc="040E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9216D6C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FE7"/>
    <w:rsid w:val="000A32CA"/>
    <w:rsid w:val="00121ED7"/>
    <w:rsid w:val="00122171"/>
    <w:rsid w:val="00136391"/>
    <w:rsid w:val="00171DA7"/>
    <w:rsid w:val="001D77A7"/>
    <w:rsid w:val="002C017B"/>
    <w:rsid w:val="00310111"/>
    <w:rsid w:val="004160F9"/>
    <w:rsid w:val="004242D7"/>
    <w:rsid w:val="00541829"/>
    <w:rsid w:val="005718EE"/>
    <w:rsid w:val="005B4C5B"/>
    <w:rsid w:val="005D47BA"/>
    <w:rsid w:val="006228D2"/>
    <w:rsid w:val="006A2D6C"/>
    <w:rsid w:val="006A3DDE"/>
    <w:rsid w:val="006C1924"/>
    <w:rsid w:val="00723A0E"/>
    <w:rsid w:val="00727A7B"/>
    <w:rsid w:val="00771DED"/>
    <w:rsid w:val="007869B4"/>
    <w:rsid w:val="007A6FE7"/>
    <w:rsid w:val="007E45BC"/>
    <w:rsid w:val="008B34F0"/>
    <w:rsid w:val="008E7495"/>
    <w:rsid w:val="009733B1"/>
    <w:rsid w:val="00993DB8"/>
    <w:rsid w:val="009C4795"/>
    <w:rsid w:val="00A01B47"/>
    <w:rsid w:val="00A47484"/>
    <w:rsid w:val="00B57237"/>
    <w:rsid w:val="00C25AEF"/>
    <w:rsid w:val="00C42A69"/>
    <w:rsid w:val="00CA596B"/>
    <w:rsid w:val="00D5533E"/>
    <w:rsid w:val="00D62946"/>
    <w:rsid w:val="00E1123D"/>
    <w:rsid w:val="00E54EF1"/>
    <w:rsid w:val="00E92E5E"/>
    <w:rsid w:val="00F10C25"/>
    <w:rsid w:val="00FA1F01"/>
    <w:rsid w:val="00FA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9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32C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32CA"/>
    <w:pPr>
      <w:keepNext/>
      <w:spacing w:before="120" w:after="120" w:line="240" w:lineRule="auto"/>
      <w:outlineLvl w:val="1"/>
    </w:pPr>
    <w:rPr>
      <w:rFonts w:ascii="Arial" w:eastAsia="Times New Roman" w:hAnsi="Arial"/>
      <w:sz w:val="20"/>
      <w:szCs w:val="20"/>
      <w:lang w:val="fr-B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32C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32CA"/>
    <w:rPr>
      <w:rFonts w:ascii="Arial" w:hAnsi="Arial" w:cs="Times New Roman"/>
      <w:snapToGrid w:val="0"/>
      <w:sz w:val="20"/>
      <w:szCs w:val="20"/>
      <w:lang w:val="fr-BE"/>
    </w:rPr>
  </w:style>
  <w:style w:type="paragraph" w:styleId="ListParagraph">
    <w:name w:val="List Paragraph"/>
    <w:basedOn w:val="Normal"/>
    <w:uiPriority w:val="99"/>
    <w:qFormat/>
    <w:rsid w:val="006A3DDE"/>
    <w:pPr>
      <w:ind w:left="720"/>
      <w:contextualSpacing/>
    </w:pPr>
  </w:style>
  <w:style w:type="paragraph" w:customStyle="1" w:styleId="StyleHeading1TimesNewRoman14ptItalic">
    <w:name w:val="Style Heading 1 + Times New Roman 14 pt Italic"/>
    <w:basedOn w:val="Heading1"/>
    <w:autoRedefine/>
    <w:uiPriority w:val="99"/>
    <w:rsid w:val="000A32CA"/>
    <w:pPr>
      <w:keepLines w:val="0"/>
      <w:numPr>
        <w:numId w:val="3"/>
      </w:numPr>
      <w:tabs>
        <w:tab w:val="clear" w:pos="360"/>
      </w:tabs>
      <w:spacing w:before="240" w:after="240" w:line="240" w:lineRule="auto"/>
      <w:jc w:val="both"/>
    </w:pPr>
    <w:rPr>
      <w:rFonts w:ascii="Times New Roman" w:hAnsi="Times New Roman"/>
      <w:iCs/>
      <w:color w:val="auto"/>
      <w:sz w:val="24"/>
      <w:szCs w:val="24"/>
      <w:lang w:val="fr-BE"/>
    </w:rPr>
  </w:style>
  <w:style w:type="paragraph" w:customStyle="1" w:styleId="Blockquote">
    <w:name w:val="Blockquote"/>
    <w:basedOn w:val="Normal"/>
    <w:uiPriority w:val="99"/>
    <w:rsid w:val="00310111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0"/>
      <w:lang w:val="en-US"/>
    </w:rPr>
  </w:style>
  <w:style w:type="paragraph" w:styleId="NormalWeb">
    <w:name w:val="Normal (Web)"/>
    <w:basedOn w:val="Normal"/>
    <w:uiPriority w:val="99"/>
    <w:rsid w:val="00310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C4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42A6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4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42A69"/>
    <w:rPr>
      <w:rFonts w:cs="Times New Roman"/>
    </w:rPr>
  </w:style>
  <w:style w:type="character" w:styleId="Strong">
    <w:name w:val="Strong"/>
    <w:basedOn w:val="DefaultParagraphFont"/>
    <w:uiPriority w:val="99"/>
    <w:qFormat/>
    <w:rsid w:val="00C42A69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432</Words>
  <Characters>2981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CSEPELZrt ajánlata elutasításának indoklása</dc:title>
  <dc:subject/>
  <dc:creator>Pitó Enikő</dc:creator>
  <cp:keywords/>
  <dc:description/>
  <cp:lastModifiedBy>csongradine</cp:lastModifiedBy>
  <cp:revision>2</cp:revision>
  <dcterms:created xsi:type="dcterms:W3CDTF">2013-12-10T07:00:00Z</dcterms:created>
  <dcterms:modified xsi:type="dcterms:W3CDTF">2013-12-10T07:00:00Z</dcterms:modified>
</cp:coreProperties>
</file>